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50" w:lineRule="atLeast"/>
        <w:ind w:left="319" w:leftChars="152" w:firstLine="320" w:firstLineChars="100"/>
        <w:jc w:val="left"/>
        <w:rPr>
          <w:rFonts w:ascii="黑体" w:hAnsi="黑体" w:eastAsia="黑体" w:cs="宋体"/>
          <w:kern w:val="0"/>
          <w:sz w:val="32"/>
          <w:szCs w:val="32"/>
        </w:rPr>
      </w:pPr>
      <w:r>
        <w:rPr>
          <w:rFonts w:hint="eastAsia" w:ascii="黑体" w:hAnsi="黑体" w:eastAsia="黑体"/>
          <w:color w:val="000000"/>
          <w:sz w:val="32"/>
          <w:szCs w:val="32"/>
        </w:rPr>
        <w:t>阜阳</w:t>
      </w:r>
      <w:r>
        <w:rPr>
          <w:rFonts w:hint="eastAsia" w:ascii="黑体" w:hAnsi="黑体" w:eastAsia="黑体"/>
          <w:color w:val="000000"/>
          <w:sz w:val="32"/>
          <w:szCs w:val="32"/>
          <w:lang w:eastAsia="zh-CN"/>
        </w:rPr>
        <w:t>市</w:t>
      </w:r>
      <w:r>
        <w:rPr>
          <w:rFonts w:hint="eastAsia" w:ascii="黑体" w:hAnsi="黑体" w:eastAsia="黑体"/>
          <w:color w:val="000000"/>
          <w:sz w:val="32"/>
          <w:szCs w:val="32"/>
        </w:rPr>
        <w:t>医药管理</w:t>
      </w:r>
      <w:r>
        <w:rPr>
          <w:rFonts w:hint="eastAsia" w:ascii="黑体" w:hAnsi="黑体" w:eastAsia="黑体" w:cs="宋体"/>
          <w:color w:val="000000"/>
          <w:kern w:val="0"/>
          <w:sz w:val="32"/>
          <w:szCs w:val="32"/>
        </w:rPr>
        <w:t>学校</w:t>
      </w:r>
      <w:r>
        <w:rPr>
          <w:rFonts w:hint="eastAsia" w:ascii="黑体" w:hAnsi="黑体" w:eastAsia="黑体" w:cs="宋体"/>
          <w:color w:val="000000"/>
          <w:kern w:val="0"/>
          <w:sz w:val="32"/>
          <w:szCs w:val="32"/>
          <w:lang w:eastAsia="zh-CN"/>
        </w:rPr>
        <w:t>（阜阳技师学院）</w:t>
      </w:r>
      <w:r>
        <w:rPr>
          <w:rFonts w:ascii="黑体" w:hAnsi="黑体" w:eastAsia="黑体" w:cs="宋体"/>
          <w:kern w:val="0"/>
          <w:sz w:val="32"/>
          <w:szCs w:val="32"/>
        </w:rPr>
        <w:t>2018年度</w:t>
      </w:r>
    </w:p>
    <w:p>
      <w:pPr>
        <w:widowControl/>
        <w:spacing w:before="100" w:beforeAutospacing="1" w:after="100" w:afterAutospacing="1" w:line="450" w:lineRule="atLeast"/>
        <w:ind w:left="319" w:leftChars="152" w:firstLine="2240" w:firstLineChars="700"/>
        <w:jc w:val="left"/>
        <w:rPr>
          <w:rFonts w:ascii="黑体" w:hAnsi="黑体" w:eastAsia="黑体" w:cs="宋体"/>
          <w:kern w:val="0"/>
          <w:sz w:val="32"/>
          <w:szCs w:val="32"/>
        </w:rPr>
      </w:pPr>
      <w:r>
        <w:rPr>
          <w:rFonts w:ascii="黑体" w:hAnsi="黑体" w:eastAsia="黑体" w:cs="宋体"/>
          <w:kern w:val="0"/>
          <w:sz w:val="32"/>
          <w:szCs w:val="32"/>
        </w:rPr>
        <w:t>质量年度报告</w:t>
      </w:r>
      <w:bookmarkStart w:id="0" w:name="_GoBack"/>
      <w:bookmarkEnd w:id="0"/>
    </w:p>
    <w:p>
      <w:pPr>
        <w:widowControl/>
        <w:spacing w:before="100" w:beforeAutospacing="1" w:after="100" w:afterAutospacing="1" w:line="450" w:lineRule="atLeast"/>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201</w:t>
      </w:r>
      <w:r>
        <w:rPr>
          <w:rFonts w:hint="eastAsia" w:ascii="宋体" w:hAnsi="宋体" w:eastAsia="宋体"/>
          <w:color w:val="000000"/>
          <w:sz w:val="24"/>
          <w:szCs w:val="24"/>
        </w:rPr>
        <w:t>8</w:t>
      </w:r>
      <w:r>
        <w:rPr>
          <w:rFonts w:hint="eastAsia" w:ascii="宋体" w:hAnsi="宋体" w:eastAsia="宋体" w:cs="宋体"/>
          <w:color w:val="000000"/>
          <w:kern w:val="0"/>
          <w:sz w:val="24"/>
          <w:szCs w:val="24"/>
        </w:rPr>
        <w:t>年,</w:t>
      </w:r>
      <w:r>
        <w:rPr>
          <w:rFonts w:hint="eastAsia" w:ascii="宋体" w:hAnsi="宋体" w:eastAsia="宋体"/>
          <w:color w:val="000000"/>
          <w:sz w:val="24"/>
          <w:szCs w:val="24"/>
        </w:rPr>
        <w:t>阜阳医药管理</w:t>
      </w:r>
      <w:r>
        <w:rPr>
          <w:rFonts w:hint="eastAsia" w:ascii="宋体" w:hAnsi="宋体" w:eastAsia="宋体" w:cs="宋体"/>
          <w:color w:val="000000"/>
          <w:kern w:val="0"/>
          <w:sz w:val="24"/>
          <w:szCs w:val="24"/>
        </w:rPr>
        <w:t>学校</w:t>
      </w:r>
      <w:r>
        <w:rPr>
          <w:rFonts w:hint="eastAsia" w:ascii="宋体" w:hAnsi="宋体" w:eastAsia="宋体"/>
          <w:color w:val="2B2B2B"/>
          <w:sz w:val="24"/>
          <w:szCs w:val="24"/>
        </w:rPr>
        <w:t>坚持以当地经济建设和社会发展服务为宗旨，以市场为导向，以教学为中心，强化技能训练，狠抓教学质量，加强学校管理，促进招生安置，强化后勤服务，抓特色、求发展，走出了“适应市场，校企共赢”的办学路子。</w:t>
      </w:r>
      <w:r>
        <w:rPr>
          <w:rFonts w:hint="eastAsia" w:ascii="宋体" w:hAnsi="宋体" w:eastAsia="宋体"/>
          <w:bCs/>
          <w:color w:val="333333"/>
          <w:sz w:val="24"/>
          <w:szCs w:val="24"/>
        </w:rPr>
        <w:t>新形势下，学校将不断探索职业教育创新发展的新模式、新思路，充分发挥传统中医药和大健康产业发展优势，突出药剂专业、中药专业、健康服务与管理专业的专业特色，不断调整优化专业机构，提升人才培养质量，全面推进一体化教学改革，以适应社会高质量发展、新旧动能转换的需求，为培养更多知识型、技术型和创新型的高层次人才而不懈努力！</w:t>
      </w:r>
    </w:p>
    <w:p>
      <w:pPr>
        <w:widowControl/>
        <w:spacing w:before="100" w:beforeAutospacing="1" w:after="100" w:afterAutospacing="1" w:line="450" w:lineRule="atLeast"/>
        <w:ind w:firstLine="480" w:firstLineChars="200"/>
        <w:jc w:val="left"/>
        <w:rPr>
          <w:rFonts w:hint="eastAsia" w:ascii="宋体" w:hAnsi="宋体" w:eastAsia="宋体" w:cs="宋体"/>
          <w:kern w:val="0"/>
          <w:sz w:val="24"/>
          <w:szCs w:val="24"/>
        </w:rPr>
      </w:pPr>
      <w:r>
        <w:rPr>
          <w:rFonts w:hint="eastAsia" w:ascii="宋体" w:hAnsi="宋体" w:eastAsia="宋体"/>
          <w:color w:val="333333"/>
          <w:sz w:val="24"/>
          <w:szCs w:val="24"/>
        </w:rPr>
        <w:t>现</w:t>
      </w:r>
      <w:r>
        <w:rPr>
          <w:rFonts w:ascii="宋体" w:hAnsi="宋体" w:eastAsia="宋体" w:cs="Times New Roman"/>
          <w:color w:val="333333"/>
          <w:sz w:val="24"/>
          <w:szCs w:val="24"/>
        </w:rPr>
        <w:t>根据教育部职成司《关于编制和发布2018年度中等职业学校质量年度报告的通知》（教职成司函〔2018〕151号）、《安徽省教育厅关于开展中等职业教育质量年度报告工作的通知》（皖教职成〔2016〕3号）等要求</w:t>
      </w:r>
      <w:r>
        <w:rPr>
          <w:rFonts w:hint="eastAsia" w:ascii="宋体" w:hAnsi="宋体" w:eastAsia="宋体"/>
          <w:color w:val="2B2B2B"/>
          <w:sz w:val="24"/>
          <w:szCs w:val="24"/>
        </w:rPr>
        <w:t>，将我校职业教育质量情况汇报如下</w:t>
      </w:r>
      <w:r>
        <w:rPr>
          <w:rFonts w:hint="eastAsia" w:ascii="宋体" w:hAnsi="宋体" w:eastAsia="宋体" w:cs="宋体"/>
          <w:color w:val="000000"/>
          <w:kern w:val="0"/>
          <w:sz w:val="24"/>
          <w:szCs w:val="24"/>
        </w:rPr>
        <w:t>。</w:t>
      </w:r>
    </w:p>
    <w:p>
      <w:pPr>
        <w:widowControl/>
        <w:spacing w:before="100" w:beforeAutospacing="1" w:after="100" w:afterAutospacing="1" w:line="450" w:lineRule="atLeast"/>
        <w:jc w:val="left"/>
        <w:rPr>
          <w:rFonts w:ascii="宋体" w:hAnsi="宋体" w:eastAsia="宋体"/>
          <w:color w:val="00000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1.学校情况</w:t>
      </w:r>
      <w:r>
        <w:rPr>
          <w:rFonts w:ascii="宋体" w:hAnsi="宋体" w:eastAsia="宋体" w:cs="宋体"/>
          <w:kern w:val="0"/>
          <w:sz w:val="24"/>
          <w:szCs w:val="24"/>
        </w:rPr>
        <w:br w:type="textWrapping"/>
      </w:r>
      <w:r>
        <w:rPr>
          <w:rFonts w:ascii="宋体" w:hAnsi="宋体" w:eastAsia="宋体" w:cs="宋体"/>
          <w:kern w:val="0"/>
          <w:sz w:val="24"/>
          <w:szCs w:val="24"/>
        </w:rPr>
        <w:t>1.1学校概况。</w:t>
      </w:r>
      <w:r>
        <w:rPr>
          <w:rFonts w:ascii="宋体" w:hAnsi="宋体" w:eastAsia="宋体" w:cs="宋体"/>
          <w:kern w:val="0"/>
          <w:sz w:val="24"/>
          <w:szCs w:val="24"/>
        </w:rPr>
        <w:br w:type="textWrapping"/>
      </w:r>
      <w:r>
        <w:rPr>
          <w:rFonts w:ascii="宋体" w:hAnsi="宋体" w:eastAsia="宋体"/>
          <w:color w:val="000000"/>
          <w:sz w:val="24"/>
          <w:szCs w:val="24"/>
        </w:rPr>
        <w:t>阜阳医药管理学校</w:t>
      </w:r>
      <w:r>
        <w:rPr>
          <w:rFonts w:hint="eastAsia" w:ascii="宋体" w:hAnsi="宋体" w:eastAsia="宋体"/>
          <w:color w:val="000000"/>
          <w:sz w:val="24"/>
          <w:szCs w:val="24"/>
          <w:lang w:eastAsia="zh-CN"/>
        </w:rPr>
        <w:t>（阜阳技师学院）</w:t>
      </w:r>
      <w:r>
        <w:rPr>
          <w:rFonts w:ascii="宋体" w:hAnsi="宋体" w:eastAsia="宋体"/>
          <w:color w:val="000000"/>
          <w:sz w:val="24"/>
          <w:szCs w:val="24"/>
        </w:rPr>
        <w:t>是一所国有公办的医药职业中等专业学校，学校的前身是安徽省医药干部学校阜阳分校，属市直中职学校。安徽医科大学阜阳教学点设在本校。学校是中国医药教育协会职业技术教育委员会、中国职业教育学会医药专业委员会理事单位。2012年4月并入阜阳技师学院。校园环境幽雅，空气清新，四季常绿，共栽培用于教学的各种药用植物200余种，中药标本</w:t>
      </w:r>
      <w:r>
        <w:rPr>
          <w:rFonts w:hint="eastAsia" w:ascii="宋体" w:hAnsi="宋体" w:eastAsia="宋体"/>
          <w:color w:val="000000"/>
          <w:sz w:val="24"/>
          <w:szCs w:val="24"/>
        </w:rPr>
        <w:t>馆</w:t>
      </w:r>
      <w:r>
        <w:rPr>
          <w:rFonts w:ascii="宋体" w:hAnsi="宋体" w:eastAsia="宋体"/>
          <w:color w:val="000000"/>
          <w:sz w:val="24"/>
          <w:szCs w:val="24"/>
        </w:rPr>
        <w:t>陈列药材标本500余种。学校还设有模拟药房、</w:t>
      </w:r>
      <w:r>
        <w:rPr>
          <w:rFonts w:hint="eastAsia" w:ascii="宋体" w:hAnsi="宋体" w:eastAsia="宋体"/>
          <w:color w:val="000000"/>
          <w:sz w:val="24"/>
          <w:szCs w:val="24"/>
        </w:rPr>
        <w:t>中药炮制实训室、中药调剂实训室、护理实训室、推拿实训室</w:t>
      </w:r>
      <w:r>
        <w:rPr>
          <w:rFonts w:ascii="宋体" w:hAnsi="宋体" w:eastAsia="宋体"/>
          <w:color w:val="000000"/>
          <w:sz w:val="24"/>
          <w:szCs w:val="24"/>
        </w:rPr>
        <w:t>、微机室等教学实习设备，是十分理想的学习场所。学校拥有一支教学严谨，业务精良的师资队伍，专业课均由既有扎实理论基础又有丰富教学、实践经验的执业（中）药师、执业（中）医师、主管药师等医学药学专业技术人员担任，治学严谨，管理规范。学校设有职业（成人）中专班及阜阳市医药行业职业技能鉴定站。</w:t>
      </w:r>
    </w:p>
    <w:p>
      <w:pPr>
        <w:widowControl/>
        <w:spacing w:before="100" w:beforeAutospacing="1" w:after="100" w:afterAutospacing="1" w:line="450" w:lineRule="atLeast"/>
        <w:jc w:val="left"/>
        <w:rPr>
          <w:rFonts w:ascii="宋体" w:hAnsi="宋体" w:eastAsia="宋体" w:cs="宋体"/>
          <w:kern w:val="0"/>
          <w:sz w:val="24"/>
          <w:szCs w:val="24"/>
        </w:rPr>
      </w:pPr>
      <w:r>
        <w:rPr>
          <w:rFonts w:ascii="宋体" w:hAnsi="宋体" w:eastAsia="宋体" w:cs="宋体"/>
          <w:kern w:val="0"/>
          <w:sz w:val="24"/>
          <w:szCs w:val="24"/>
        </w:rPr>
        <w:t>学校基础设施完善，教学设备齐全。学校位于阜阳市临泉路</w:t>
      </w:r>
      <w:r>
        <w:rPr>
          <w:rFonts w:hint="eastAsia" w:ascii="宋体" w:hAnsi="宋体" w:eastAsia="宋体" w:cs="宋体"/>
          <w:kern w:val="0"/>
          <w:sz w:val="24"/>
          <w:szCs w:val="24"/>
        </w:rPr>
        <w:t>889</w:t>
      </w:r>
      <w:r>
        <w:rPr>
          <w:rFonts w:ascii="宋体" w:hAnsi="宋体" w:eastAsia="宋体" w:cs="宋体"/>
          <w:kern w:val="0"/>
          <w:sz w:val="24"/>
          <w:szCs w:val="24"/>
        </w:rPr>
        <w:t>号，占地</w:t>
      </w:r>
      <w:r>
        <w:rPr>
          <w:rFonts w:hint="eastAsia" w:ascii="宋体" w:hAnsi="宋体" w:eastAsia="宋体" w:cs="宋体"/>
          <w:kern w:val="0"/>
          <w:sz w:val="24"/>
          <w:szCs w:val="24"/>
        </w:rPr>
        <w:t>380.12</w:t>
      </w:r>
      <w:r>
        <w:rPr>
          <w:rFonts w:ascii="宋体" w:hAnsi="宋体" w:eastAsia="宋体" w:cs="宋体"/>
          <w:kern w:val="0"/>
          <w:sz w:val="24"/>
          <w:szCs w:val="24"/>
        </w:rPr>
        <w:t>亩，校园建筑面积</w:t>
      </w:r>
      <w:r>
        <w:rPr>
          <w:rFonts w:hint="eastAsia" w:ascii="宋体" w:hAnsi="宋体" w:eastAsia="宋体" w:cs="宋体"/>
          <w:kern w:val="0"/>
          <w:sz w:val="24"/>
          <w:szCs w:val="24"/>
        </w:rPr>
        <w:t>75051.94</w:t>
      </w:r>
      <w:r>
        <w:rPr>
          <w:rFonts w:ascii="宋体" w:hAnsi="宋体" w:eastAsia="宋体" w:cs="宋体"/>
          <w:kern w:val="0"/>
          <w:sz w:val="24"/>
          <w:szCs w:val="24"/>
        </w:rPr>
        <w:t>㎡，固定资产总值</w:t>
      </w:r>
      <w:r>
        <w:rPr>
          <w:rFonts w:hint="eastAsia" w:ascii="宋体" w:hAnsi="宋体" w:eastAsia="宋体" w:cs="宋体"/>
          <w:kern w:val="0"/>
          <w:sz w:val="24"/>
          <w:szCs w:val="24"/>
        </w:rPr>
        <w:t>7570万</w:t>
      </w:r>
      <w:r>
        <w:rPr>
          <w:rFonts w:ascii="宋体" w:hAnsi="宋体" w:eastAsia="宋体" w:cs="宋体"/>
          <w:kern w:val="0"/>
          <w:sz w:val="24"/>
          <w:szCs w:val="24"/>
        </w:rPr>
        <w:t>元。</w:t>
      </w:r>
      <w:r>
        <w:rPr>
          <w:rFonts w:ascii="宋体" w:hAnsi="宋体" w:eastAsia="宋体" w:cs="宋体"/>
          <w:kern w:val="0"/>
          <w:sz w:val="24"/>
          <w:szCs w:val="24"/>
        </w:rPr>
        <w:br w:type="textWrapping"/>
      </w:r>
      <w:r>
        <w:rPr>
          <w:rFonts w:ascii="宋体" w:hAnsi="宋体" w:eastAsia="宋体" w:cs="宋体"/>
          <w:kern w:val="0"/>
          <w:sz w:val="24"/>
          <w:szCs w:val="24"/>
        </w:rPr>
        <w:t>表1-1 近两学年中等职业学校基本概况一览表</w:t>
      </w:r>
    </w:p>
    <w:tbl>
      <w:tblPr>
        <w:tblStyle w:val="7"/>
        <w:tblW w:w="937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6"/>
        <w:gridCol w:w="3607"/>
        <w:gridCol w:w="1080"/>
        <w:gridCol w:w="1160"/>
        <w:gridCol w:w="1080"/>
        <w:gridCol w:w="1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7" w:hRule="atLeast"/>
          <w:jc w:val="center"/>
        </w:trPr>
        <w:tc>
          <w:tcPr>
            <w:tcW w:w="1446"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学年度</w:t>
            </w:r>
          </w:p>
        </w:tc>
        <w:tc>
          <w:tcPr>
            <w:tcW w:w="3607"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学校名称（全名）</w:t>
            </w:r>
          </w:p>
        </w:tc>
        <w:tc>
          <w:tcPr>
            <w:tcW w:w="1080"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办学性质</w:t>
            </w:r>
          </w:p>
        </w:tc>
        <w:tc>
          <w:tcPr>
            <w:tcW w:w="1160"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校园占地（亩）</w:t>
            </w:r>
          </w:p>
        </w:tc>
        <w:tc>
          <w:tcPr>
            <w:tcW w:w="1080" w:type="dxa"/>
            <w:vAlign w:val="center"/>
          </w:tcPr>
          <w:p>
            <w:pPr>
              <w:adjustRightInd w:val="0"/>
              <w:snapToGrid w:val="0"/>
              <w:spacing w:line="220" w:lineRule="atLeast"/>
              <w:jc w:val="center"/>
              <w:rPr>
                <w:rFonts w:ascii="宋体" w:hAnsi="宋体" w:eastAsia="宋体"/>
                <w:bCs/>
                <w:sz w:val="24"/>
                <w:szCs w:val="24"/>
              </w:rPr>
            </w:pPr>
            <w:r>
              <w:rPr>
                <w:rFonts w:hint="eastAsia" w:ascii="宋体" w:hAnsi="宋体" w:eastAsia="宋体"/>
                <w:bCs/>
                <w:sz w:val="24"/>
                <w:szCs w:val="24"/>
              </w:rPr>
              <w:t>校舍面积（㎡）</w:t>
            </w:r>
          </w:p>
        </w:tc>
        <w:tc>
          <w:tcPr>
            <w:tcW w:w="1004" w:type="dxa"/>
            <w:vAlign w:val="center"/>
          </w:tcPr>
          <w:p>
            <w:pPr>
              <w:spacing w:line="240" w:lineRule="exact"/>
              <w:jc w:val="center"/>
              <w:rPr>
                <w:rFonts w:hint="eastAsia" w:ascii="宋体" w:hAnsi="宋体" w:eastAsia="宋体" w:cs="宋体"/>
                <w:bCs/>
                <w:sz w:val="24"/>
                <w:szCs w:val="24"/>
              </w:rPr>
            </w:pPr>
            <w:r>
              <w:rPr>
                <w:rFonts w:hint="eastAsia" w:ascii="宋体" w:hAnsi="宋体" w:eastAsia="宋体" w:cs="宋体"/>
                <w:bCs/>
                <w:sz w:val="24"/>
                <w:szCs w:val="24"/>
              </w:rPr>
              <w:t>资产总值（万元）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46" w:type="dxa"/>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6</w:t>
            </w:r>
            <w:r>
              <w:rPr>
                <w:rFonts w:ascii="宋体" w:hAnsi="宋体" w:eastAsia="宋体"/>
                <w:sz w:val="24"/>
                <w:szCs w:val="24"/>
              </w:rPr>
              <w:t>～201</w:t>
            </w:r>
            <w:r>
              <w:rPr>
                <w:rFonts w:hint="eastAsia" w:ascii="宋体" w:hAnsi="宋体" w:eastAsia="宋体"/>
                <w:sz w:val="24"/>
                <w:szCs w:val="24"/>
              </w:rPr>
              <w:t>7</w:t>
            </w:r>
          </w:p>
        </w:tc>
        <w:tc>
          <w:tcPr>
            <w:tcW w:w="3607" w:type="dxa"/>
            <w:vAlign w:val="center"/>
          </w:tcPr>
          <w:p>
            <w:pPr>
              <w:spacing w:line="240" w:lineRule="atLeast"/>
              <w:rPr>
                <w:rFonts w:hint="eastAsia" w:ascii="宋体" w:hAnsi="宋体" w:eastAsia="宋体" w:cs="宋体"/>
                <w:sz w:val="24"/>
                <w:szCs w:val="24"/>
                <w:lang w:eastAsia="zh-CN"/>
              </w:rPr>
            </w:pPr>
            <w:r>
              <w:rPr>
                <w:rFonts w:hint="eastAsia" w:ascii="宋体" w:hAnsi="宋体" w:eastAsia="宋体" w:cs="宋体"/>
                <w:sz w:val="24"/>
                <w:szCs w:val="24"/>
              </w:rPr>
              <w:t>阜阳</w:t>
            </w:r>
            <w:r>
              <w:rPr>
                <w:rFonts w:hint="eastAsia" w:ascii="宋体" w:hAnsi="宋体" w:eastAsia="宋体" w:cs="宋体"/>
                <w:sz w:val="24"/>
                <w:szCs w:val="24"/>
                <w:lang w:eastAsia="zh-CN"/>
              </w:rPr>
              <w:t>市</w:t>
            </w:r>
            <w:r>
              <w:rPr>
                <w:rFonts w:hint="eastAsia" w:ascii="宋体" w:hAnsi="宋体" w:eastAsia="宋体" w:cs="宋体"/>
                <w:sz w:val="24"/>
                <w:szCs w:val="24"/>
              </w:rPr>
              <w:t>医药管理学校</w:t>
            </w:r>
            <w:r>
              <w:rPr>
                <w:rFonts w:hint="eastAsia" w:ascii="宋体" w:hAnsi="宋体" w:eastAsia="宋体" w:cs="宋体"/>
                <w:sz w:val="24"/>
                <w:szCs w:val="24"/>
                <w:lang w:eastAsia="zh-CN"/>
              </w:rPr>
              <w:t>（阜阳技师学院）</w:t>
            </w:r>
          </w:p>
          <w:p>
            <w:pPr>
              <w:spacing w:line="240" w:lineRule="atLeast"/>
              <w:jc w:val="center"/>
              <w:rPr>
                <w:rFonts w:ascii="宋体" w:hAnsi="宋体" w:eastAsia="宋体" w:cs="宋体"/>
                <w:sz w:val="24"/>
                <w:szCs w:val="24"/>
              </w:rPr>
            </w:pPr>
          </w:p>
          <w:p>
            <w:pPr>
              <w:spacing w:line="240" w:lineRule="atLeast"/>
              <w:jc w:val="center"/>
              <w:rPr>
                <w:rFonts w:ascii="宋体" w:hAnsi="宋体" w:eastAsia="宋体" w:cs="宋体"/>
                <w:sz w:val="24"/>
                <w:szCs w:val="24"/>
              </w:rPr>
            </w:pPr>
          </w:p>
        </w:tc>
        <w:tc>
          <w:tcPr>
            <w:tcW w:w="1080"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公办</w:t>
            </w:r>
          </w:p>
        </w:tc>
        <w:tc>
          <w:tcPr>
            <w:tcW w:w="1160"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380.12</w:t>
            </w:r>
          </w:p>
        </w:tc>
        <w:tc>
          <w:tcPr>
            <w:tcW w:w="1080" w:type="dxa"/>
            <w:vAlign w:val="center"/>
          </w:tcPr>
          <w:p>
            <w:pPr>
              <w:adjustRightInd w:val="0"/>
              <w:snapToGrid w:val="0"/>
              <w:spacing w:line="220" w:lineRule="atLeast"/>
              <w:jc w:val="center"/>
              <w:rPr>
                <w:rFonts w:hint="eastAsia" w:ascii="宋体" w:hAnsi="宋体" w:eastAsia="宋体"/>
                <w:bCs/>
                <w:sz w:val="24"/>
                <w:szCs w:val="24"/>
              </w:rPr>
            </w:pPr>
            <w:r>
              <w:rPr>
                <w:rFonts w:hint="eastAsia" w:ascii="宋体" w:hAnsi="宋体" w:eastAsia="宋体"/>
                <w:bCs/>
                <w:sz w:val="24"/>
                <w:szCs w:val="24"/>
              </w:rPr>
              <w:t>75051.94</w:t>
            </w:r>
          </w:p>
        </w:tc>
        <w:tc>
          <w:tcPr>
            <w:tcW w:w="1004"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7570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jc w:val="center"/>
        </w:trPr>
        <w:tc>
          <w:tcPr>
            <w:tcW w:w="1446" w:type="dxa"/>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3607" w:type="dxa"/>
            <w:vAlign w:val="center"/>
          </w:tcPr>
          <w:p>
            <w:pPr>
              <w:spacing w:line="240" w:lineRule="atLeast"/>
              <w:rPr>
                <w:rFonts w:hint="eastAsia" w:ascii="宋体" w:hAnsi="宋体" w:eastAsia="宋体" w:cs="宋体"/>
                <w:sz w:val="24"/>
                <w:szCs w:val="24"/>
                <w:lang w:eastAsia="zh-CN"/>
              </w:rPr>
            </w:pPr>
            <w:r>
              <w:rPr>
                <w:rFonts w:hint="eastAsia" w:ascii="宋体" w:hAnsi="宋体" w:eastAsia="宋体" w:cs="宋体"/>
                <w:sz w:val="24"/>
                <w:szCs w:val="24"/>
              </w:rPr>
              <w:t>阜阳</w:t>
            </w:r>
            <w:r>
              <w:rPr>
                <w:rFonts w:hint="eastAsia" w:ascii="宋体" w:hAnsi="宋体" w:eastAsia="宋体" w:cs="宋体"/>
                <w:sz w:val="24"/>
                <w:szCs w:val="24"/>
                <w:lang w:eastAsia="zh-CN"/>
              </w:rPr>
              <w:t>市</w:t>
            </w:r>
            <w:r>
              <w:rPr>
                <w:rFonts w:hint="eastAsia" w:ascii="宋体" w:hAnsi="宋体" w:eastAsia="宋体" w:cs="宋体"/>
                <w:sz w:val="24"/>
                <w:szCs w:val="24"/>
              </w:rPr>
              <w:t>医药管理学校</w:t>
            </w:r>
            <w:r>
              <w:rPr>
                <w:rFonts w:hint="eastAsia" w:ascii="宋体" w:hAnsi="宋体" w:eastAsia="宋体" w:cs="宋体"/>
                <w:sz w:val="24"/>
                <w:szCs w:val="24"/>
                <w:lang w:eastAsia="zh-CN"/>
              </w:rPr>
              <w:t>（阜阳技师学院）</w:t>
            </w:r>
          </w:p>
          <w:p>
            <w:pPr>
              <w:spacing w:line="240" w:lineRule="atLeast"/>
              <w:jc w:val="center"/>
              <w:rPr>
                <w:rFonts w:ascii="宋体" w:hAnsi="宋体" w:eastAsia="宋体" w:cs="宋体"/>
                <w:sz w:val="24"/>
                <w:szCs w:val="24"/>
              </w:rPr>
            </w:pPr>
          </w:p>
        </w:tc>
        <w:tc>
          <w:tcPr>
            <w:tcW w:w="1080"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公办</w:t>
            </w:r>
          </w:p>
        </w:tc>
        <w:tc>
          <w:tcPr>
            <w:tcW w:w="1160"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380.12</w:t>
            </w:r>
          </w:p>
        </w:tc>
        <w:tc>
          <w:tcPr>
            <w:tcW w:w="1080" w:type="dxa"/>
            <w:vAlign w:val="center"/>
          </w:tcPr>
          <w:p>
            <w:pPr>
              <w:adjustRightInd w:val="0"/>
              <w:snapToGrid w:val="0"/>
              <w:spacing w:line="220" w:lineRule="atLeast"/>
              <w:jc w:val="center"/>
              <w:rPr>
                <w:rFonts w:ascii="宋体" w:hAnsi="宋体" w:eastAsia="宋体"/>
                <w:bCs/>
                <w:sz w:val="24"/>
                <w:szCs w:val="24"/>
              </w:rPr>
            </w:pPr>
            <w:r>
              <w:rPr>
                <w:rFonts w:hint="eastAsia" w:ascii="宋体" w:hAnsi="宋体" w:eastAsia="宋体"/>
                <w:bCs/>
                <w:sz w:val="24"/>
                <w:szCs w:val="24"/>
              </w:rPr>
              <w:t>75051.94</w:t>
            </w:r>
          </w:p>
        </w:tc>
        <w:tc>
          <w:tcPr>
            <w:tcW w:w="1004"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7570</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1.2学生情况。</w:t>
      </w:r>
      <w:r>
        <w:rPr>
          <w:rFonts w:ascii="宋体" w:hAnsi="宋体" w:eastAsia="宋体" w:cs="宋体"/>
          <w:kern w:val="0"/>
          <w:sz w:val="24"/>
          <w:szCs w:val="24"/>
        </w:rPr>
        <w:br w:type="textWrapping"/>
      </w:r>
      <w:r>
        <w:rPr>
          <w:rFonts w:ascii="宋体" w:hAnsi="宋体" w:eastAsia="宋体" w:cs="宋体"/>
          <w:kern w:val="0"/>
          <w:sz w:val="24"/>
          <w:szCs w:val="24"/>
        </w:rPr>
        <w:t>1.2.1 招生规模。</w:t>
      </w:r>
      <w:r>
        <w:rPr>
          <w:rFonts w:ascii="宋体" w:hAnsi="宋体" w:eastAsia="宋体" w:cs="宋体"/>
          <w:kern w:val="0"/>
          <w:sz w:val="24"/>
          <w:szCs w:val="24"/>
        </w:rPr>
        <w:br w:type="textWrapping"/>
      </w:r>
      <w:r>
        <w:rPr>
          <w:rFonts w:ascii="宋体" w:hAnsi="宋体" w:eastAsia="宋体" w:cs="宋体"/>
          <w:kern w:val="0"/>
          <w:sz w:val="24"/>
          <w:szCs w:val="24"/>
        </w:rPr>
        <w:t>2018年，学校实际招生人数</w:t>
      </w:r>
      <w:r>
        <w:rPr>
          <w:rFonts w:hint="eastAsia" w:ascii="宋体" w:hAnsi="宋体" w:eastAsia="宋体" w:cs="宋体"/>
          <w:kern w:val="0"/>
          <w:sz w:val="24"/>
          <w:szCs w:val="24"/>
        </w:rPr>
        <w:t>456</w:t>
      </w:r>
      <w:r>
        <w:rPr>
          <w:rFonts w:ascii="宋体" w:hAnsi="宋体" w:eastAsia="宋体" w:cs="宋体"/>
          <w:kern w:val="0"/>
          <w:sz w:val="24"/>
          <w:szCs w:val="24"/>
        </w:rPr>
        <w:t>人</w:t>
      </w:r>
      <w:r>
        <w:rPr>
          <w:rFonts w:hint="eastAsia" w:ascii="宋体" w:hAnsi="宋体" w:eastAsia="宋体" w:cs="宋体"/>
          <w:kern w:val="0"/>
          <w:sz w:val="24"/>
          <w:szCs w:val="24"/>
        </w:rPr>
        <w:t>，</w:t>
      </w:r>
      <w:r>
        <w:rPr>
          <w:rFonts w:ascii="宋体" w:hAnsi="宋体" w:eastAsia="宋体" w:cs="宋体"/>
          <w:kern w:val="0"/>
          <w:sz w:val="24"/>
          <w:szCs w:val="24"/>
        </w:rPr>
        <w:t>招生以应届初中毕业生为主</w:t>
      </w:r>
      <w:r>
        <w:rPr>
          <w:rFonts w:hint="eastAsia" w:ascii="宋体" w:hAnsi="宋体" w:eastAsia="宋体" w:cs="宋体"/>
          <w:kern w:val="0"/>
          <w:sz w:val="24"/>
          <w:szCs w:val="24"/>
        </w:rPr>
        <w:t>。</w:t>
      </w:r>
      <w:r>
        <w:rPr>
          <w:rFonts w:ascii="宋体" w:hAnsi="宋体" w:eastAsia="宋体" w:cs="宋体"/>
          <w:kern w:val="0"/>
          <w:sz w:val="24"/>
          <w:szCs w:val="24"/>
        </w:rPr>
        <w:t xml:space="preserve"> </w:t>
      </w:r>
      <w:r>
        <w:rPr>
          <w:rFonts w:ascii="宋体" w:hAnsi="宋体" w:eastAsia="宋体" w:cs="宋体"/>
          <w:kern w:val="0"/>
          <w:sz w:val="24"/>
          <w:szCs w:val="24"/>
        </w:rPr>
        <w:br w:type="textWrapping"/>
      </w:r>
      <w:r>
        <w:rPr>
          <w:rFonts w:ascii="宋体" w:hAnsi="宋体" w:eastAsia="宋体" w:cs="宋体"/>
          <w:kern w:val="0"/>
          <w:sz w:val="24"/>
          <w:szCs w:val="24"/>
        </w:rPr>
        <w:t>1.2.2在校生规模及结构。</w:t>
      </w:r>
      <w:r>
        <w:rPr>
          <w:rFonts w:ascii="宋体" w:hAnsi="宋体" w:eastAsia="宋体" w:cs="宋体"/>
          <w:kern w:val="0"/>
          <w:sz w:val="24"/>
          <w:szCs w:val="24"/>
        </w:rPr>
        <w:br w:type="textWrapping"/>
      </w:r>
      <w:r>
        <w:rPr>
          <w:rFonts w:ascii="宋体" w:hAnsi="宋体" w:eastAsia="宋体" w:cs="宋体"/>
          <w:kern w:val="0"/>
          <w:sz w:val="24"/>
          <w:szCs w:val="24"/>
        </w:rPr>
        <w:t>目前学校共有全日制在校生</w:t>
      </w:r>
      <w:r>
        <w:rPr>
          <w:rFonts w:hint="eastAsia" w:ascii="宋体" w:hAnsi="宋体" w:eastAsia="宋体" w:cs="宋体"/>
          <w:kern w:val="0"/>
          <w:sz w:val="24"/>
          <w:szCs w:val="24"/>
        </w:rPr>
        <w:t>1064</w:t>
      </w:r>
      <w:r>
        <w:rPr>
          <w:rFonts w:ascii="宋体" w:hAnsi="宋体" w:eastAsia="宋体" w:cs="宋体"/>
          <w:kern w:val="0"/>
          <w:sz w:val="24"/>
          <w:szCs w:val="24"/>
        </w:rPr>
        <w:t>人，比上一年度的在校生</w:t>
      </w:r>
      <w:r>
        <w:rPr>
          <w:rFonts w:hint="eastAsia" w:ascii="宋体" w:hAnsi="宋体" w:eastAsia="宋体" w:cs="宋体"/>
          <w:kern w:val="0"/>
          <w:sz w:val="24"/>
          <w:szCs w:val="24"/>
        </w:rPr>
        <w:t>974</w:t>
      </w:r>
      <w:r>
        <w:rPr>
          <w:rFonts w:ascii="宋体" w:hAnsi="宋体" w:eastAsia="宋体" w:cs="宋体"/>
          <w:kern w:val="0"/>
          <w:sz w:val="24"/>
          <w:szCs w:val="24"/>
        </w:rPr>
        <w:t>人规模增加</w:t>
      </w:r>
      <w:r>
        <w:rPr>
          <w:rFonts w:hint="eastAsia" w:ascii="宋体" w:hAnsi="宋体" w:eastAsia="宋体" w:cs="宋体"/>
          <w:kern w:val="0"/>
          <w:sz w:val="24"/>
          <w:szCs w:val="24"/>
        </w:rPr>
        <w:t>90</w:t>
      </w:r>
      <w:r>
        <w:rPr>
          <w:rFonts w:ascii="宋体" w:hAnsi="宋体" w:eastAsia="宋体" w:cs="宋体"/>
          <w:kern w:val="0"/>
          <w:sz w:val="24"/>
          <w:szCs w:val="24"/>
        </w:rPr>
        <w:t>人。</w:t>
      </w:r>
      <w:r>
        <w:rPr>
          <w:rFonts w:ascii="宋体" w:hAnsi="宋体" w:eastAsia="宋体" w:cs="宋体"/>
          <w:kern w:val="0"/>
          <w:sz w:val="24"/>
          <w:szCs w:val="24"/>
        </w:rPr>
        <w:br w:type="textWrapping"/>
      </w:r>
      <w:r>
        <w:rPr>
          <w:rFonts w:ascii="宋体" w:hAnsi="宋体" w:eastAsia="宋体" w:cs="宋体"/>
          <w:kern w:val="0"/>
          <w:sz w:val="24"/>
          <w:szCs w:val="24"/>
        </w:rPr>
        <w:t>1.2.3毕业生规模。</w:t>
      </w:r>
      <w:r>
        <w:rPr>
          <w:rFonts w:ascii="宋体" w:hAnsi="宋体" w:eastAsia="宋体" w:cs="宋体"/>
          <w:kern w:val="0"/>
          <w:sz w:val="24"/>
          <w:szCs w:val="24"/>
        </w:rPr>
        <w:br w:type="textWrapping"/>
      </w:r>
      <w:r>
        <w:rPr>
          <w:rFonts w:ascii="宋体" w:hAnsi="宋体" w:eastAsia="宋体" w:cs="宋体"/>
          <w:kern w:val="0"/>
          <w:sz w:val="24"/>
          <w:szCs w:val="24"/>
        </w:rPr>
        <w:t>2018年，学校全日制毕业生</w:t>
      </w:r>
      <w:r>
        <w:rPr>
          <w:rFonts w:hint="eastAsia" w:ascii="宋体" w:hAnsi="宋体" w:eastAsia="宋体" w:cs="宋体"/>
          <w:kern w:val="0"/>
          <w:sz w:val="24"/>
          <w:szCs w:val="24"/>
        </w:rPr>
        <w:t>335</w:t>
      </w:r>
      <w:r>
        <w:rPr>
          <w:rFonts w:ascii="宋体" w:hAnsi="宋体" w:eastAsia="宋体" w:cs="宋体"/>
          <w:kern w:val="0"/>
          <w:sz w:val="24"/>
          <w:szCs w:val="24"/>
        </w:rPr>
        <w:t>人，巩固率</w:t>
      </w:r>
      <w:r>
        <w:rPr>
          <w:rFonts w:hint="eastAsia" w:ascii="宋体" w:hAnsi="宋体" w:eastAsia="宋体" w:cs="宋体"/>
          <w:kern w:val="0"/>
          <w:sz w:val="24"/>
          <w:szCs w:val="24"/>
        </w:rPr>
        <w:t>86</w:t>
      </w:r>
      <w:r>
        <w:rPr>
          <w:rFonts w:ascii="宋体" w:hAnsi="宋体" w:eastAsia="宋体" w:cs="宋体"/>
          <w:kern w:val="0"/>
          <w:sz w:val="24"/>
          <w:szCs w:val="24"/>
        </w:rPr>
        <w:t>%。今年全日制毕业生比去</w:t>
      </w:r>
      <w:r>
        <w:rPr>
          <w:rFonts w:hint="eastAsia" w:ascii="宋体" w:hAnsi="宋体" w:eastAsia="宋体" w:cs="宋体"/>
          <w:kern w:val="0"/>
          <w:sz w:val="24"/>
          <w:szCs w:val="24"/>
        </w:rPr>
        <w:t>增加110</w:t>
      </w:r>
      <w:r>
        <w:rPr>
          <w:rFonts w:ascii="宋体" w:hAnsi="宋体" w:eastAsia="宋体" w:cs="宋体"/>
          <w:kern w:val="0"/>
          <w:sz w:val="24"/>
          <w:szCs w:val="24"/>
        </w:rPr>
        <w:t>人。</w:t>
      </w:r>
      <w:r>
        <w:rPr>
          <w:rFonts w:ascii="宋体" w:hAnsi="宋体" w:eastAsia="宋体" w:cs="宋体"/>
          <w:kern w:val="0"/>
          <w:sz w:val="24"/>
          <w:szCs w:val="24"/>
        </w:rPr>
        <w:br w:type="textWrapping"/>
      </w:r>
      <w:r>
        <w:rPr>
          <w:rFonts w:ascii="宋体" w:hAnsi="宋体" w:eastAsia="宋体" w:cs="宋体"/>
          <w:kern w:val="0"/>
          <w:sz w:val="24"/>
          <w:szCs w:val="24"/>
        </w:rPr>
        <w:t>1.2.4短期培训规模。</w:t>
      </w:r>
      <w:r>
        <w:rPr>
          <w:rFonts w:ascii="宋体" w:hAnsi="宋体" w:eastAsia="宋体" w:cs="宋体"/>
          <w:kern w:val="0"/>
          <w:sz w:val="24"/>
          <w:szCs w:val="24"/>
        </w:rPr>
        <w:br w:type="textWrapping"/>
      </w:r>
      <w:r>
        <w:rPr>
          <w:rFonts w:ascii="宋体" w:hAnsi="宋体" w:eastAsia="宋体" w:cs="宋体"/>
          <w:kern w:val="0"/>
          <w:sz w:val="24"/>
          <w:szCs w:val="24"/>
        </w:rPr>
        <w:t>2018年，学校举行职业培训总数为</w:t>
      </w:r>
      <w:r>
        <w:rPr>
          <w:rFonts w:hint="eastAsia" w:ascii="宋体" w:hAnsi="宋体" w:eastAsia="宋体" w:cs="宋体"/>
          <w:sz w:val="24"/>
          <w:szCs w:val="24"/>
        </w:rPr>
        <w:t>1064</w:t>
      </w:r>
      <w:r>
        <w:rPr>
          <w:rFonts w:ascii="宋体" w:hAnsi="宋体" w:eastAsia="宋体" w:cs="宋体"/>
          <w:kern w:val="0"/>
          <w:sz w:val="24"/>
          <w:szCs w:val="24"/>
        </w:rPr>
        <w:t>人次，比上一年增加</w:t>
      </w:r>
      <w:r>
        <w:rPr>
          <w:rFonts w:hint="eastAsia" w:ascii="宋体" w:hAnsi="宋体" w:eastAsia="宋体" w:cs="宋体"/>
          <w:kern w:val="0"/>
          <w:sz w:val="24"/>
          <w:szCs w:val="24"/>
        </w:rPr>
        <w:t>90</w:t>
      </w:r>
      <w:r>
        <w:rPr>
          <w:rFonts w:ascii="宋体" w:hAnsi="宋体" w:eastAsia="宋体" w:cs="宋体"/>
          <w:kern w:val="0"/>
          <w:sz w:val="24"/>
          <w:szCs w:val="24"/>
        </w:rPr>
        <w:t>人。</w:t>
      </w:r>
      <w:r>
        <w:rPr>
          <w:rFonts w:ascii="宋体" w:hAnsi="宋体" w:eastAsia="宋体" w:cs="宋体"/>
          <w:kern w:val="0"/>
          <w:sz w:val="24"/>
          <w:szCs w:val="24"/>
        </w:rPr>
        <w:br w:type="textWrapping"/>
      </w:r>
      <w:r>
        <w:rPr>
          <w:rFonts w:ascii="宋体" w:hAnsi="宋体" w:eastAsia="宋体" w:cs="宋体"/>
          <w:kern w:val="0"/>
          <w:sz w:val="24"/>
          <w:szCs w:val="24"/>
        </w:rPr>
        <w:t>表1-2 近两学年中等职业学校规模结构情况一览表</w:t>
      </w:r>
    </w:p>
    <w:tbl>
      <w:tblPr>
        <w:tblStyle w:val="7"/>
        <w:tblW w:w="969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46"/>
        <w:gridCol w:w="900"/>
        <w:gridCol w:w="951"/>
        <w:gridCol w:w="908"/>
        <w:gridCol w:w="1072"/>
        <w:gridCol w:w="805"/>
        <w:gridCol w:w="944"/>
        <w:gridCol w:w="847"/>
        <w:gridCol w:w="1080"/>
        <w:gridCol w:w="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7" w:hRule="atLeast"/>
          <w:jc w:val="center"/>
        </w:trPr>
        <w:tc>
          <w:tcPr>
            <w:tcW w:w="1346" w:type="dxa"/>
            <w:vMerge w:val="restart"/>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学年度</w:t>
            </w:r>
          </w:p>
        </w:tc>
        <w:tc>
          <w:tcPr>
            <w:tcW w:w="1851" w:type="dxa"/>
            <w:gridSpan w:val="2"/>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招生（人）</w:t>
            </w:r>
          </w:p>
        </w:tc>
        <w:tc>
          <w:tcPr>
            <w:tcW w:w="1980" w:type="dxa"/>
            <w:gridSpan w:val="2"/>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在校生（人）</w:t>
            </w:r>
          </w:p>
        </w:tc>
        <w:tc>
          <w:tcPr>
            <w:tcW w:w="1749" w:type="dxa"/>
            <w:gridSpan w:val="2"/>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毕业生（人）</w:t>
            </w:r>
          </w:p>
        </w:tc>
        <w:tc>
          <w:tcPr>
            <w:tcW w:w="1927"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巩固率</w:t>
            </w:r>
            <w:r>
              <w:rPr>
                <w:rFonts w:ascii="宋体" w:hAnsi="宋体" w:eastAsia="宋体"/>
                <w:bCs/>
                <w:sz w:val="24"/>
                <w:szCs w:val="24"/>
              </w:rPr>
              <w:t>（</w:t>
            </w:r>
            <w:r>
              <w:rPr>
                <w:rFonts w:hint="eastAsia" w:ascii="宋体" w:hAnsi="宋体" w:eastAsia="宋体"/>
                <w:bCs/>
                <w:sz w:val="24"/>
                <w:szCs w:val="24"/>
              </w:rPr>
              <w:t>%</w:t>
            </w:r>
            <w:r>
              <w:rPr>
                <w:rFonts w:ascii="宋体" w:hAnsi="宋体" w:eastAsia="宋体"/>
                <w:bCs/>
                <w:sz w:val="24"/>
                <w:szCs w:val="24"/>
              </w:rPr>
              <w:t>）</w:t>
            </w:r>
          </w:p>
        </w:tc>
        <w:tc>
          <w:tcPr>
            <w:tcW w:w="838" w:type="dxa"/>
            <w:vMerge w:val="restart"/>
            <w:vAlign w:val="center"/>
          </w:tcPr>
          <w:p>
            <w:pPr>
              <w:adjustRightInd w:val="0"/>
              <w:snapToGrid w:val="0"/>
              <w:spacing w:line="0" w:lineRule="atLeast"/>
              <w:jc w:val="center"/>
              <w:rPr>
                <w:rFonts w:hint="eastAsia" w:ascii="宋体" w:hAnsi="宋体" w:eastAsia="宋体"/>
                <w:bCs/>
                <w:sz w:val="24"/>
                <w:szCs w:val="24"/>
              </w:rPr>
            </w:pPr>
            <w:r>
              <w:rPr>
                <w:rFonts w:hint="eastAsia" w:ascii="宋体" w:hAnsi="宋体" w:eastAsia="宋体"/>
                <w:bCs/>
                <w:sz w:val="24"/>
                <w:szCs w:val="24"/>
              </w:rPr>
              <w:t>职业培训（人次）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atLeast"/>
          <w:jc w:val="center"/>
        </w:trPr>
        <w:tc>
          <w:tcPr>
            <w:tcW w:w="1346" w:type="dxa"/>
            <w:vMerge w:val="continue"/>
            <w:vAlign w:val="center"/>
          </w:tcPr>
          <w:p>
            <w:pPr>
              <w:spacing w:line="240" w:lineRule="exact"/>
              <w:jc w:val="center"/>
              <w:rPr>
                <w:rFonts w:ascii="宋体" w:hAnsi="宋体" w:eastAsia="宋体" w:cs="宋体"/>
                <w:bCs/>
                <w:sz w:val="24"/>
                <w:szCs w:val="24"/>
              </w:rPr>
            </w:pPr>
          </w:p>
        </w:tc>
        <w:tc>
          <w:tcPr>
            <w:tcW w:w="900"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全日制</w:t>
            </w:r>
          </w:p>
        </w:tc>
        <w:tc>
          <w:tcPr>
            <w:tcW w:w="951"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非全日制</w:t>
            </w:r>
          </w:p>
        </w:tc>
        <w:tc>
          <w:tcPr>
            <w:tcW w:w="908"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全日制</w:t>
            </w:r>
          </w:p>
        </w:tc>
        <w:tc>
          <w:tcPr>
            <w:tcW w:w="1072" w:type="dxa"/>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非全日制</w:t>
            </w:r>
          </w:p>
        </w:tc>
        <w:tc>
          <w:tcPr>
            <w:tcW w:w="805" w:type="dxa"/>
            <w:vAlign w:val="center"/>
          </w:tcPr>
          <w:p>
            <w:pPr>
              <w:spacing w:line="240" w:lineRule="exact"/>
              <w:jc w:val="center"/>
              <w:rPr>
                <w:rFonts w:hint="eastAsia" w:ascii="宋体" w:hAnsi="宋体" w:eastAsia="宋体"/>
                <w:bCs/>
                <w:sz w:val="24"/>
                <w:szCs w:val="24"/>
              </w:rPr>
            </w:pPr>
            <w:r>
              <w:rPr>
                <w:rFonts w:hint="eastAsia" w:ascii="宋体" w:hAnsi="宋体" w:eastAsia="宋体"/>
                <w:bCs/>
                <w:sz w:val="24"/>
                <w:szCs w:val="24"/>
              </w:rPr>
              <w:t>全日制</w:t>
            </w:r>
          </w:p>
        </w:tc>
        <w:tc>
          <w:tcPr>
            <w:tcW w:w="944"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非全日制</w:t>
            </w:r>
          </w:p>
        </w:tc>
        <w:tc>
          <w:tcPr>
            <w:tcW w:w="847"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全日制</w:t>
            </w:r>
          </w:p>
        </w:tc>
        <w:tc>
          <w:tcPr>
            <w:tcW w:w="1080" w:type="dxa"/>
            <w:vAlign w:val="center"/>
          </w:tcPr>
          <w:p>
            <w:pPr>
              <w:spacing w:line="240" w:lineRule="exact"/>
              <w:jc w:val="center"/>
              <w:rPr>
                <w:rFonts w:ascii="宋体" w:hAnsi="宋体" w:eastAsia="宋体" w:cs="宋体"/>
                <w:bCs/>
                <w:sz w:val="24"/>
                <w:szCs w:val="24"/>
              </w:rPr>
            </w:pPr>
            <w:r>
              <w:rPr>
                <w:rFonts w:hint="eastAsia" w:ascii="宋体" w:hAnsi="宋体" w:eastAsia="宋体"/>
                <w:bCs/>
                <w:sz w:val="24"/>
                <w:szCs w:val="24"/>
              </w:rPr>
              <w:t>非全日制</w:t>
            </w:r>
          </w:p>
        </w:tc>
        <w:tc>
          <w:tcPr>
            <w:tcW w:w="838" w:type="dxa"/>
            <w:vMerge w:val="continue"/>
            <w:vAlign w:val="center"/>
          </w:tcPr>
          <w:p>
            <w:pPr>
              <w:spacing w:line="240" w:lineRule="exact"/>
              <w:jc w:val="center"/>
              <w:rPr>
                <w:rFonts w:ascii="宋体" w:hAnsi="宋体" w:eastAsia="宋体" w:cs="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6" w:hRule="exact"/>
          <w:jc w:val="center"/>
        </w:trPr>
        <w:tc>
          <w:tcPr>
            <w:tcW w:w="1346" w:type="dxa"/>
            <w:tcBorders>
              <w:bottom w:val="single" w:color="auto" w:sz="8" w:space="0"/>
            </w:tcBorders>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6</w:t>
            </w:r>
            <w:r>
              <w:rPr>
                <w:rFonts w:ascii="宋体" w:hAnsi="宋体" w:eastAsia="宋体"/>
                <w:sz w:val="24"/>
                <w:szCs w:val="24"/>
              </w:rPr>
              <w:t>～201</w:t>
            </w:r>
            <w:r>
              <w:rPr>
                <w:rFonts w:hint="eastAsia" w:ascii="宋体" w:hAnsi="宋体" w:eastAsia="宋体"/>
                <w:sz w:val="24"/>
                <w:szCs w:val="24"/>
              </w:rPr>
              <w:t>7</w:t>
            </w:r>
          </w:p>
        </w:tc>
        <w:tc>
          <w:tcPr>
            <w:tcW w:w="900" w:type="dxa"/>
            <w:tcBorders>
              <w:bottom w:val="single" w:color="auto" w:sz="8" w:space="0"/>
            </w:tcBorders>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280</w:t>
            </w:r>
          </w:p>
        </w:tc>
        <w:tc>
          <w:tcPr>
            <w:tcW w:w="951" w:type="dxa"/>
            <w:tcBorders>
              <w:bottom w:val="single" w:color="auto" w:sz="8" w:space="0"/>
            </w:tcBorders>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203</w:t>
            </w:r>
          </w:p>
        </w:tc>
        <w:tc>
          <w:tcPr>
            <w:tcW w:w="908" w:type="dxa"/>
            <w:tcBorders>
              <w:bottom w:val="single" w:color="auto" w:sz="8" w:space="0"/>
            </w:tcBorders>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974</w:t>
            </w:r>
          </w:p>
        </w:tc>
        <w:tc>
          <w:tcPr>
            <w:tcW w:w="1072" w:type="dxa"/>
            <w:tcBorders>
              <w:bottom w:val="single" w:color="auto" w:sz="8" w:space="0"/>
            </w:tcBorders>
            <w:vAlign w:val="center"/>
          </w:tcPr>
          <w:p>
            <w:pPr>
              <w:adjustRightInd w:val="0"/>
              <w:snapToGrid w:val="0"/>
              <w:spacing w:line="0" w:lineRule="atLeast"/>
              <w:jc w:val="center"/>
              <w:rPr>
                <w:rFonts w:hint="eastAsia" w:ascii="宋体" w:hAnsi="宋体" w:eastAsia="宋体"/>
                <w:sz w:val="24"/>
                <w:szCs w:val="24"/>
              </w:rPr>
            </w:pPr>
            <w:r>
              <w:rPr>
                <w:rFonts w:hint="eastAsia" w:ascii="宋体" w:hAnsi="宋体" w:eastAsia="宋体"/>
                <w:sz w:val="24"/>
                <w:szCs w:val="24"/>
              </w:rPr>
              <w:t>268</w:t>
            </w:r>
          </w:p>
        </w:tc>
        <w:tc>
          <w:tcPr>
            <w:tcW w:w="805" w:type="dxa"/>
            <w:tcBorders>
              <w:bottom w:val="single" w:color="auto" w:sz="8" w:space="0"/>
            </w:tcBorders>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225</w:t>
            </w:r>
          </w:p>
        </w:tc>
        <w:tc>
          <w:tcPr>
            <w:tcW w:w="944" w:type="dxa"/>
            <w:tcBorders>
              <w:bottom w:val="single" w:color="auto" w:sz="8" w:space="0"/>
            </w:tcBorders>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78</w:t>
            </w:r>
          </w:p>
        </w:tc>
        <w:tc>
          <w:tcPr>
            <w:tcW w:w="847" w:type="dxa"/>
            <w:tcBorders>
              <w:bottom w:val="single" w:color="auto" w:sz="8" w:space="0"/>
            </w:tcBorders>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80</w:t>
            </w:r>
          </w:p>
        </w:tc>
        <w:tc>
          <w:tcPr>
            <w:tcW w:w="1080" w:type="dxa"/>
            <w:tcBorders>
              <w:bottom w:val="single" w:color="auto" w:sz="8" w:space="0"/>
            </w:tcBorders>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38</w:t>
            </w:r>
          </w:p>
        </w:tc>
        <w:tc>
          <w:tcPr>
            <w:tcW w:w="838" w:type="dxa"/>
            <w:tcBorders>
              <w:bottom w:val="single" w:color="auto" w:sz="8" w:space="0"/>
            </w:tcBorders>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974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6" w:hRule="exact"/>
          <w:jc w:val="center"/>
        </w:trPr>
        <w:tc>
          <w:tcPr>
            <w:tcW w:w="1346" w:type="dxa"/>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900"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391</w:t>
            </w:r>
          </w:p>
        </w:tc>
        <w:tc>
          <w:tcPr>
            <w:tcW w:w="951"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65</w:t>
            </w:r>
          </w:p>
        </w:tc>
        <w:tc>
          <w:tcPr>
            <w:tcW w:w="908"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1064</w:t>
            </w:r>
          </w:p>
        </w:tc>
        <w:tc>
          <w:tcPr>
            <w:tcW w:w="1072" w:type="dxa"/>
            <w:vAlign w:val="center"/>
          </w:tcPr>
          <w:p>
            <w:pPr>
              <w:adjustRightInd w:val="0"/>
              <w:snapToGrid w:val="0"/>
              <w:spacing w:line="0" w:lineRule="atLeast"/>
              <w:jc w:val="center"/>
              <w:rPr>
                <w:rFonts w:hint="eastAsia" w:ascii="宋体" w:hAnsi="宋体" w:eastAsia="宋体"/>
                <w:sz w:val="24"/>
                <w:szCs w:val="24"/>
              </w:rPr>
            </w:pPr>
            <w:r>
              <w:rPr>
                <w:rFonts w:hint="eastAsia" w:ascii="宋体" w:hAnsi="宋体" w:eastAsia="宋体"/>
                <w:sz w:val="24"/>
                <w:szCs w:val="24"/>
              </w:rPr>
              <w:t>123</w:t>
            </w:r>
          </w:p>
        </w:tc>
        <w:tc>
          <w:tcPr>
            <w:tcW w:w="805"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335</w:t>
            </w:r>
          </w:p>
        </w:tc>
        <w:tc>
          <w:tcPr>
            <w:tcW w:w="944" w:type="dxa"/>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203</w:t>
            </w:r>
          </w:p>
        </w:tc>
        <w:tc>
          <w:tcPr>
            <w:tcW w:w="847"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86</w:t>
            </w:r>
          </w:p>
        </w:tc>
        <w:tc>
          <w:tcPr>
            <w:tcW w:w="1080"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312</w:t>
            </w:r>
          </w:p>
        </w:tc>
        <w:tc>
          <w:tcPr>
            <w:tcW w:w="838" w:type="dxa"/>
            <w:vAlign w:val="center"/>
          </w:tcPr>
          <w:p>
            <w:pPr>
              <w:spacing w:line="240" w:lineRule="atLeast"/>
              <w:jc w:val="center"/>
              <w:rPr>
                <w:rFonts w:ascii="宋体" w:hAnsi="宋体" w:eastAsia="宋体" w:cs="宋体"/>
                <w:sz w:val="24"/>
                <w:szCs w:val="24"/>
              </w:rPr>
            </w:pPr>
            <w:r>
              <w:rPr>
                <w:rFonts w:hint="eastAsia" w:ascii="宋体" w:hAnsi="宋体" w:eastAsia="宋体" w:cs="宋体"/>
                <w:sz w:val="24"/>
                <w:szCs w:val="24"/>
              </w:rPr>
              <w:t>1064</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1.3教师队伍。</w:t>
      </w:r>
      <w:r>
        <w:rPr>
          <w:rFonts w:ascii="宋体" w:hAnsi="宋体" w:eastAsia="宋体" w:cs="宋体"/>
          <w:kern w:val="0"/>
          <w:sz w:val="24"/>
          <w:szCs w:val="24"/>
        </w:rPr>
        <w:br w:type="textWrapping"/>
      </w:r>
      <w:r>
        <w:rPr>
          <w:rFonts w:ascii="宋体" w:hAnsi="宋体" w:eastAsia="宋体" w:cs="宋体"/>
          <w:kern w:val="0"/>
          <w:sz w:val="24"/>
          <w:szCs w:val="24"/>
        </w:rPr>
        <w:t>学校现有教职工</w:t>
      </w:r>
      <w:r>
        <w:rPr>
          <w:rFonts w:hint="eastAsia" w:ascii="宋体" w:hAnsi="宋体" w:eastAsia="宋体" w:cs="宋体"/>
          <w:kern w:val="0"/>
          <w:sz w:val="24"/>
          <w:szCs w:val="24"/>
        </w:rPr>
        <w:t>34</w:t>
      </w:r>
      <w:r>
        <w:rPr>
          <w:rFonts w:ascii="宋体" w:hAnsi="宋体" w:eastAsia="宋体" w:cs="宋体"/>
          <w:kern w:val="0"/>
          <w:sz w:val="24"/>
          <w:szCs w:val="24"/>
        </w:rPr>
        <w:t>人，研究生</w:t>
      </w:r>
      <w:r>
        <w:rPr>
          <w:rFonts w:hint="eastAsia" w:ascii="宋体" w:hAnsi="宋体" w:eastAsia="宋体" w:cs="宋体"/>
          <w:kern w:val="0"/>
          <w:sz w:val="24"/>
          <w:szCs w:val="24"/>
        </w:rPr>
        <w:t>2</w:t>
      </w:r>
      <w:r>
        <w:rPr>
          <w:rFonts w:ascii="宋体" w:hAnsi="宋体" w:eastAsia="宋体" w:cs="宋体"/>
          <w:kern w:val="0"/>
          <w:sz w:val="24"/>
          <w:szCs w:val="24"/>
        </w:rPr>
        <w:t>人，本科学历</w:t>
      </w:r>
      <w:r>
        <w:rPr>
          <w:rFonts w:hint="eastAsia" w:ascii="宋体" w:hAnsi="宋体" w:eastAsia="宋体" w:cs="宋体"/>
          <w:kern w:val="0"/>
          <w:sz w:val="24"/>
          <w:szCs w:val="24"/>
        </w:rPr>
        <w:t>32</w:t>
      </w:r>
      <w:r>
        <w:rPr>
          <w:rFonts w:ascii="宋体" w:hAnsi="宋体" w:eastAsia="宋体" w:cs="宋体"/>
          <w:kern w:val="0"/>
          <w:sz w:val="24"/>
          <w:szCs w:val="24"/>
        </w:rPr>
        <w:t>人。其中，专任教师</w:t>
      </w:r>
      <w:r>
        <w:rPr>
          <w:rFonts w:hint="eastAsia" w:ascii="宋体" w:hAnsi="宋体" w:eastAsia="宋体" w:cs="宋体"/>
          <w:kern w:val="0"/>
          <w:sz w:val="24"/>
          <w:szCs w:val="24"/>
        </w:rPr>
        <w:t>34</w:t>
      </w:r>
      <w:r>
        <w:rPr>
          <w:rFonts w:ascii="宋体" w:hAnsi="宋体" w:eastAsia="宋体" w:cs="宋体"/>
          <w:kern w:val="0"/>
          <w:sz w:val="24"/>
          <w:szCs w:val="24"/>
        </w:rPr>
        <w:t>人，具有高级专业技术职称的</w:t>
      </w:r>
      <w:r>
        <w:rPr>
          <w:rFonts w:hint="eastAsia" w:ascii="宋体" w:hAnsi="宋体" w:eastAsia="宋体" w:cs="宋体"/>
          <w:kern w:val="0"/>
          <w:sz w:val="24"/>
          <w:szCs w:val="24"/>
        </w:rPr>
        <w:t>1</w:t>
      </w:r>
      <w:r>
        <w:rPr>
          <w:rFonts w:ascii="宋体" w:hAnsi="宋体" w:eastAsia="宋体" w:cs="宋体"/>
          <w:kern w:val="0"/>
          <w:sz w:val="24"/>
          <w:szCs w:val="24"/>
        </w:rPr>
        <w:t>人，专业课教师</w:t>
      </w:r>
      <w:r>
        <w:rPr>
          <w:rFonts w:hint="eastAsia" w:ascii="宋体" w:hAnsi="宋体" w:eastAsia="宋体" w:cs="宋体"/>
          <w:kern w:val="0"/>
          <w:sz w:val="24"/>
          <w:szCs w:val="24"/>
        </w:rPr>
        <w:t>30</w:t>
      </w:r>
      <w:r>
        <w:rPr>
          <w:rFonts w:ascii="宋体" w:hAnsi="宋体" w:eastAsia="宋体" w:cs="宋体"/>
          <w:kern w:val="0"/>
          <w:sz w:val="24"/>
          <w:szCs w:val="24"/>
        </w:rPr>
        <w:t>人，生师比为</w:t>
      </w:r>
      <w:r>
        <w:rPr>
          <w:rFonts w:hint="eastAsia" w:ascii="宋体" w:hAnsi="宋体" w:eastAsia="宋体" w:cs="宋体"/>
          <w:kern w:val="0"/>
          <w:sz w:val="24"/>
          <w:szCs w:val="24"/>
        </w:rPr>
        <w:t>20</w:t>
      </w:r>
      <w:r>
        <w:rPr>
          <w:rFonts w:ascii="宋体" w:hAnsi="宋体" w:eastAsia="宋体" w:cs="宋体"/>
          <w:kern w:val="0"/>
          <w:sz w:val="24"/>
          <w:szCs w:val="24"/>
        </w:rPr>
        <w:t>：1。双师型教师</w:t>
      </w:r>
      <w:r>
        <w:rPr>
          <w:rFonts w:hint="eastAsia" w:ascii="宋体" w:hAnsi="宋体" w:eastAsia="宋体" w:cs="宋体"/>
          <w:kern w:val="0"/>
          <w:sz w:val="24"/>
          <w:szCs w:val="24"/>
        </w:rPr>
        <w:t>30</w:t>
      </w:r>
      <w:r>
        <w:rPr>
          <w:rFonts w:ascii="宋体" w:hAnsi="宋体" w:eastAsia="宋体" w:cs="宋体"/>
          <w:kern w:val="0"/>
          <w:sz w:val="24"/>
          <w:szCs w:val="24"/>
        </w:rPr>
        <w:t>人，兼职教师</w:t>
      </w:r>
      <w:r>
        <w:rPr>
          <w:rFonts w:hint="eastAsia" w:ascii="宋体" w:hAnsi="宋体" w:eastAsia="宋体" w:cs="宋体"/>
          <w:kern w:val="0"/>
          <w:sz w:val="24"/>
          <w:szCs w:val="24"/>
        </w:rPr>
        <w:t>4</w:t>
      </w:r>
      <w:r>
        <w:rPr>
          <w:rFonts w:ascii="宋体" w:hAnsi="宋体" w:eastAsia="宋体" w:cs="宋体"/>
          <w:kern w:val="0"/>
          <w:sz w:val="24"/>
          <w:szCs w:val="24"/>
        </w:rPr>
        <w:t>人。</w:t>
      </w:r>
      <w:r>
        <w:rPr>
          <w:rFonts w:ascii="宋体" w:hAnsi="宋体" w:eastAsia="宋体" w:cs="宋体"/>
          <w:kern w:val="0"/>
          <w:sz w:val="24"/>
          <w:szCs w:val="24"/>
        </w:rPr>
        <w:br w:type="textWrapping"/>
      </w:r>
      <w:r>
        <w:rPr>
          <w:rFonts w:ascii="宋体" w:hAnsi="宋体" w:eastAsia="宋体" w:cs="宋体"/>
          <w:kern w:val="0"/>
          <w:sz w:val="24"/>
          <w:szCs w:val="24"/>
        </w:rPr>
        <w:t>表1-3 近两学年中等职业学校教师总体情况一览表</w:t>
      </w:r>
    </w:p>
    <w:tbl>
      <w:tblPr>
        <w:tblStyle w:val="7"/>
        <w:tblpPr w:leftFromText="180" w:rightFromText="180" w:vertAnchor="text" w:horzAnchor="page" w:tblpXSpec="center" w:tblpY="9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45"/>
        <w:gridCol w:w="828"/>
        <w:gridCol w:w="972"/>
        <w:gridCol w:w="1080"/>
        <w:gridCol w:w="1080"/>
        <w:gridCol w:w="1260"/>
        <w:gridCol w:w="100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3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专任教师（人）</w:t>
            </w:r>
          </w:p>
        </w:tc>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kern w:val="0"/>
                <w:sz w:val="24"/>
                <w:szCs w:val="24"/>
              </w:rPr>
              <w:t>生师比</w:t>
            </w: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kern w:val="0"/>
                <w:sz w:val="24"/>
                <w:szCs w:val="24"/>
              </w:rPr>
              <w:t>硕士以上学历（人）</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kern w:val="0"/>
                <w:sz w:val="24"/>
                <w:szCs w:val="24"/>
              </w:rPr>
              <w:t>本科以上学历（人）</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kern w:val="0"/>
                <w:sz w:val="24"/>
                <w:szCs w:val="24"/>
              </w:rPr>
              <w:t>高级职称教师（人）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kern w:val="0"/>
                <w:sz w:val="24"/>
                <w:szCs w:val="24"/>
              </w:rPr>
              <w:t>专业课及实习指导教师（人）</w:t>
            </w:r>
          </w:p>
        </w:tc>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双师型</w:t>
            </w:r>
          </w:p>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sz w:val="24"/>
                <w:szCs w:val="24"/>
              </w:rPr>
              <w:t>教师（人）</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宋体"/>
                <w:bCs/>
                <w:kern w:val="0"/>
                <w:sz w:val="24"/>
                <w:szCs w:val="24"/>
              </w:rPr>
            </w:pPr>
            <w:r>
              <w:rPr>
                <w:rFonts w:hint="eastAsia" w:ascii="宋体" w:hAnsi="宋体" w:eastAsia="宋体"/>
                <w:bCs/>
                <w:kern w:val="0"/>
                <w:sz w:val="24"/>
                <w:szCs w:val="24"/>
              </w:rPr>
              <w:t>兼职教师（人）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exact"/>
        </w:trPr>
        <w:tc>
          <w:tcPr>
            <w:tcW w:w="1315" w:type="dxa"/>
            <w:tcBorders>
              <w:top w:val="single" w:color="auto" w:sz="4" w:space="0"/>
              <w:bottom w:val="single" w:color="auto" w:sz="4" w:space="0"/>
            </w:tcBorders>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6</w:t>
            </w:r>
            <w:r>
              <w:rPr>
                <w:rFonts w:ascii="宋体" w:hAnsi="宋体" w:eastAsia="宋体"/>
                <w:sz w:val="24"/>
                <w:szCs w:val="24"/>
              </w:rPr>
              <w:t>～201</w:t>
            </w:r>
            <w:r>
              <w:rPr>
                <w:rFonts w:hint="eastAsia" w:ascii="宋体" w:hAnsi="宋体" w:eastAsia="宋体"/>
                <w:sz w:val="24"/>
                <w:szCs w:val="24"/>
              </w:rPr>
              <w:t>7</w:t>
            </w:r>
          </w:p>
        </w:tc>
        <w:tc>
          <w:tcPr>
            <w:tcW w:w="845" w:type="dxa"/>
            <w:tcBorders>
              <w:top w:val="single" w:color="auto" w:sz="4" w:space="0"/>
              <w:bottom w:val="single" w:color="auto" w:sz="4" w:space="0"/>
            </w:tcBorders>
            <w:vAlign w:val="center"/>
          </w:tcPr>
          <w:p>
            <w:pPr>
              <w:adjustRightInd w:val="0"/>
              <w:snapToGrid w:val="0"/>
              <w:spacing w:line="300" w:lineRule="exact"/>
              <w:rPr>
                <w:rFonts w:hint="eastAsia" w:ascii="宋体" w:hAnsi="宋体" w:eastAsia="宋体"/>
                <w:bCs/>
                <w:sz w:val="24"/>
                <w:szCs w:val="24"/>
              </w:rPr>
            </w:pPr>
            <w:r>
              <w:rPr>
                <w:rFonts w:hint="eastAsia" w:ascii="宋体" w:hAnsi="宋体" w:eastAsia="宋体"/>
                <w:bCs/>
                <w:sz w:val="24"/>
                <w:szCs w:val="24"/>
              </w:rPr>
              <w:t>30</w:t>
            </w:r>
          </w:p>
        </w:tc>
        <w:tc>
          <w:tcPr>
            <w:tcW w:w="828" w:type="dxa"/>
            <w:tcBorders>
              <w:top w:val="single" w:color="auto" w:sz="4" w:space="0"/>
              <w:bottom w:val="single" w:color="auto" w:sz="4" w:space="0"/>
            </w:tcBorders>
            <w:vAlign w:val="center"/>
          </w:tcPr>
          <w:p>
            <w:pPr>
              <w:adjustRightInd w:val="0"/>
              <w:snapToGrid w:val="0"/>
              <w:spacing w:line="300" w:lineRule="exact"/>
              <w:jc w:val="center"/>
              <w:rPr>
                <w:rFonts w:ascii="宋体" w:hAnsi="宋体" w:eastAsia="宋体"/>
                <w:bCs/>
                <w:sz w:val="24"/>
                <w:szCs w:val="24"/>
              </w:rPr>
            </w:pPr>
            <w:r>
              <w:rPr>
                <w:rFonts w:hint="eastAsia" w:ascii="宋体" w:hAnsi="宋体" w:eastAsia="宋体"/>
                <w:bCs/>
                <w:sz w:val="24"/>
                <w:szCs w:val="24"/>
              </w:rPr>
              <w:t>20</w:t>
            </w:r>
          </w:p>
        </w:tc>
        <w:tc>
          <w:tcPr>
            <w:tcW w:w="972" w:type="dxa"/>
            <w:tcBorders>
              <w:top w:val="single" w:color="auto" w:sz="4" w:space="0"/>
              <w:bottom w:val="single" w:color="auto" w:sz="4" w:space="0"/>
            </w:tcBorders>
            <w:vAlign w:val="center"/>
          </w:tcPr>
          <w:p>
            <w:pPr>
              <w:adjustRightInd w:val="0"/>
              <w:snapToGrid w:val="0"/>
              <w:spacing w:line="300" w:lineRule="exact"/>
              <w:jc w:val="center"/>
              <w:rPr>
                <w:rFonts w:ascii="宋体" w:hAnsi="宋体" w:eastAsia="宋体"/>
                <w:sz w:val="24"/>
                <w:szCs w:val="24"/>
              </w:rPr>
            </w:pPr>
            <w:r>
              <w:rPr>
                <w:rFonts w:hint="eastAsia" w:ascii="宋体" w:hAnsi="宋体" w:eastAsia="宋体"/>
                <w:sz w:val="24"/>
                <w:szCs w:val="24"/>
              </w:rPr>
              <w:t>1</w:t>
            </w:r>
          </w:p>
        </w:tc>
        <w:tc>
          <w:tcPr>
            <w:tcW w:w="1080" w:type="dxa"/>
            <w:tcBorders>
              <w:top w:val="single" w:color="auto" w:sz="4" w:space="0"/>
              <w:bottom w:val="single" w:color="auto" w:sz="4" w:space="0"/>
            </w:tcBorders>
            <w:vAlign w:val="center"/>
          </w:tcPr>
          <w:p>
            <w:pPr>
              <w:adjustRightInd w:val="0"/>
              <w:snapToGrid w:val="0"/>
              <w:spacing w:line="300" w:lineRule="exact"/>
              <w:jc w:val="center"/>
              <w:rPr>
                <w:rFonts w:hint="eastAsia" w:ascii="宋体" w:hAnsi="宋体" w:eastAsia="宋体"/>
                <w:sz w:val="24"/>
                <w:szCs w:val="24"/>
              </w:rPr>
            </w:pPr>
            <w:r>
              <w:rPr>
                <w:rFonts w:hint="eastAsia" w:ascii="宋体" w:hAnsi="宋体" w:eastAsia="宋体"/>
                <w:sz w:val="24"/>
                <w:szCs w:val="24"/>
              </w:rPr>
              <w:t>29</w:t>
            </w:r>
          </w:p>
        </w:tc>
        <w:tc>
          <w:tcPr>
            <w:tcW w:w="1080" w:type="dxa"/>
            <w:tcBorders>
              <w:top w:val="single" w:color="auto" w:sz="4" w:space="0"/>
              <w:bottom w:val="single" w:color="auto" w:sz="4" w:space="0"/>
            </w:tcBorders>
            <w:vAlign w:val="center"/>
          </w:tcPr>
          <w:p>
            <w:pPr>
              <w:adjustRightInd w:val="0"/>
              <w:snapToGrid w:val="0"/>
              <w:spacing w:line="300" w:lineRule="exact"/>
              <w:jc w:val="center"/>
              <w:rPr>
                <w:rFonts w:ascii="宋体" w:hAnsi="宋体" w:eastAsia="宋体"/>
                <w:sz w:val="24"/>
                <w:szCs w:val="24"/>
              </w:rPr>
            </w:pPr>
            <w:r>
              <w:rPr>
                <w:rFonts w:hint="eastAsia" w:ascii="宋体" w:hAnsi="宋体" w:eastAsia="宋体"/>
                <w:sz w:val="24"/>
                <w:szCs w:val="24"/>
              </w:rPr>
              <w:t>1</w:t>
            </w:r>
          </w:p>
        </w:tc>
        <w:tc>
          <w:tcPr>
            <w:tcW w:w="1260" w:type="dxa"/>
            <w:tcBorders>
              <w:top w:val="single" w:color="auto" w:sz="4" w:space="0"/>
              <w:bottom w:val="single" w:color="auto" w:sz="4" w:space="0"/>
            </w:tcBorders>
            <w:vAlign w:val="center"/>
          </w:tcPr>
          <w:p>
            <w:pPr>
              <w:spacing w:line="240" w:lineRule="atLeast"/>
              <w:jc w:val="center"/>
              <w:rPr>
                <w:rFonts w:hint="eastAsia" w:ascii="宋体" w:hAnsi="宋体" w:eastAsia="宋体"/>
                <w:sz w:val="24"/>
                <w:szCs w:val="24"/>
              </w:rPr>
            </w:pPr>
            <w:r>
              <w:rPr>
                <w:rFonts w:hint="eastAsia" w:ascii="宋体" w:hAnsi="宋体" w:eastAsia="宋体"/>
                <w:sz w:val="24"/>
                <w:szCs w:val="24"/>
              </w:rPr>
              <w:t>26</w:t>
            </w:r>
          </w:p>
        </w:tc>
        <w:tc>
          <w:tcPr>
            <w:tcW w:w="1008" w:type="dxa"/>
            <w:tcBorders>
              <w:top w:val="single" w:color="auto" w:sz="4" w:space="0"/>
              <w:bottom w:val="single" w:color="auto" w:sz="4" w:space="0"/>
            </w:tcBorders>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26</w:t>
            </w:r>
          </w:p>
        </w:tc>
        <w:tc>
          <w:tcPr>
            <w:tcW w:w="900" w:type="dxa"/>
            <w:tcBorders>
              <w:top w:val="single" w:color="auto" w:sz="4" w:space="0"/>
              <w:bottom w:val="single" w:color="auto" w:sz="4" w:space="0"/>
            </w:tcBorders>
            <w:vAlign w:val="center"/>
          </w:tcPr>
          <w:p>
            <w:pPr>
              <w:spacing w:line="240" w:lineRule="atLeast"/>
              <w:jc w:val="center"/>
              <w:rPr>
                <w:rFonts w:ascii="宋体" w:hAnsi="宋体" w:eastAsia="宋体"/>
                <w:sz w:val="24"/>
                <w:szCs w:val="24"/>
              </w:rPr>
            </w:pPr>
            <w:r>
              <w:rPr>
                <w:rFonts w:hint="eastAsia" w:ascii="宋体" w:hAnsi="宋体" w:eastAsia="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315" w:type="dxa"/>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845" w:type="dxa"/>
            <w:vAlign w:val="center"/>
          </w:tcPr>
          <w:p>
            <w:pPr>
              <w:adjustRightInd w:val="0"/>
              <w:snapToGrid w:val="0"/>
              <w:spacing w:line="300" w:lineRule="exact"/>
              <w:jc w:val="center"/>
              <w:rPr>
                <w:rFonts w:hint="eastAsia" w:ascii="宋体" w:hAnsi="宋体" w:eastAsia="宋体"/>
                <w:bCs/>
                <w:sz w:val="24"/>
                <w:szCs w:val="24"/>
              </w:rPr>
            </w:pPr>
            <w:r>
              <w:rPr>
                <w:rFonts w:hint="eastAsia" w:ascii="宋体" w:hAnsi="宋体" w:eastAsia="宋体"/>
                <w:bCs/>
                <w:sz w:val="24"/>
                <w:szCs w:val="24"/>
              </w:rPr>
              <w:t>34</w:t>
            </w:r>
          </w:p>
        </w:tc>
        <w:tc>
          <w:tcPr>
            <w:tcW w:w="828" w:type="dxa"/>
            <w:vAlign w:val="center"/>
          </w:tcPr>
          <w:p>
            <w:pPr>
              <w:adjustRightInd w:val="0"/>
              <w:snapToGrid w:val="0"/>
              <w:spacing w:line="300" w:lineRule="exact"/>
              <w:jc w:val="center"/>
              <w:rPr>
                <w:rFonts w:ascii="宋体" w:hAnsi="宋体" w:eastAsia="宋体"/>
                <w:bCs/>
                <w:sz w:val="24"/>
                <w:szCs w:val="24"/>
              </w:rPr>
            </w:pPr>
            <w:r>
              <w:rPr>
                <w:rFonts w:hint="eastAsia" w:ascii="宋体" w:hAnsi="宋体" w:eastAsia="宋体"/>
                <w:bCs/>
                <w:sz w:val="24"/>
                <w:szCs w:val="24"/>
              </w:rPr>
              <w:t>20</w:t>
            </w:r>
          </w:p>
        </w:tc>
        <w:tc>
          <w:tcPr>
            <w:tcW w:w="972" w:type="dxa"/>
            <w:vAlign w:val="center"/>
          </w:tcPr>
          <w:p>
            <w:pPr>
              <w:adjustRightInd w:val="0"/>
              <w:snapToGrid w:val="0"/>
              <w:spacing w:line="300" w:lineRule="exact"/>
              <w:jc w:val="center"/>
              <w:rPr>
                <w:rFonts w:ascii="宋体" w:hAnsi="宋体" w:eastAsia="宋体"/>
                <w:sz w:val="24"/>
                <w:szCs w:val="24"/>
              </w:rPr>
            </w:pPr>
            <w:r>
              <w:rPr>
                <w:rFonts w:hint="eastAsia" w:ascii="宋体" w:hAnsi="宋体" w:eastAsia="宋体"/>
                <w:sz w:val="24"/>
                <w:szCs w:val="24"/>
              </w:rPr>
              <w:t>2</w:t>
            </w:r>
          </w:p>
        </w:tc>
        <w:tc>
          <w:tcPr>
            <w:tcW w:w="1080" w:type="dxa"/>
            <w:vAlign w:val="center"/>
          </w:tcPr>
          <w:p>
            <w:pPr>
              <w:adjustRightInd w:val="0"/>
              <w:snapToGrid w:val="0"/>
              <w:spacing w:line="300" w:lineRule="exact"/>
              <w:jc w:val="center"/>
              <w:rPr>
                <w:rFonts w:hint="eastAsia" w:ascii="宋体" w:hAnsi="宋体" w:eastAsia="宋体"/>
                <w:sz w:val="24"/>
                <w:szCs w:val="24"/>
              </w:rPr>
            </w:pPr>
            <w:r>
              <w:rPr>
                <w:rFonts w:hint="eastAsia" w:ascii="宋体" w:hAnsi="宋体" w:eastAsia="宋体"/>
                <w:sz w:val="24"/>
                <w:szCs w:val="24"/>
              </w:rPr>
              <w:t>32</w:t>
            </w:r>
          </w:p>
        </w:tc>
        <w:tc>
          <w:tcPr>
            <w:tcW w:w="1080" w:type="dxa"/>
            <w:vAlign w:val="center"/>
          </w:tcPr>
          <w:p>
            <w:pPr>
              <w:adjustRightInd w:val="0"/>
              <w:snapToGrid w:val="0"/>
              <w:spacing w:line="300" w:lineRule="exact"/>
              <w:jc w:val="center"/>
              <w:rPr>
                <w:rFonts w:ascii="宋体" w:hAnsi="宋体" w:eastAsia="宋体"/>
                <w:sz w:val="24"/>
                <w:szCs w:val="24"/>
              </w:rPr>
            </w:pPr>
            <w:r>
              <w:rPr>
                <w:rFonts w:hint="eastAsia" w:ascii="宋体" w:hAnsi="宋体" w:eastAsia="宋体"/>
                <w:sz w:val="24"/>
                <w:szCs w:val="24"/>
              </w:rPr>
              <w:t>1</w:t>
            </w:r>
          </w:p>
        </w:tc>
        <w:tc>
          <w:tcPr>
            <w:tcW w:w="1260" w:type="dxa"/>
            <w:vAlign w:val="center"/>
          </w:tcPr>
          <w:p>
            <w:pPr>
              <w:spacing w:line="240" w:lineRule="atLeast"/>
              <w:jc w:val="center"/>
              <w:rPr>
                <w:rFonts w:hint="eastAsia" w:ascii="宋体" w:hAnsi="宋体" w:eastAsia="宋体"/>
                <w:sz w:val="24"/>
                <w:szCs w:val="24"/>
              </w:rPr>
            </w:pPr>
            <w:r>
              <w:rPr>
                <w:rFonts w:hint="eastAsia" w:ascii="宋体" w:hAnsi="宋体" w:eastAsia="宋体"/>
                <w:sz w:val="24"/>
                <w:szCs w:val="24"/>
              </w:rPr>
              <w:t>30</w:t>
            </w:r>
          </w:p>
        </w:tc>
        <w:tc>
          <w:tcPr>
            <w:tcW w:w="1008" w:type="dxa"/>
            <w:vAlign w:val="center"/>
          </w:tcPr>
          <w:p>
            <w:pPr>
              <w:spacing w:line="240" w:lineRule="atLeast"/>
              <w:jc w:val="center"/>
              <w:rPr>
                <w:rFonts w:hint="eastAsia" w:ascii="宋体" w:hAnsi="宋体" w:eastAsia="宋体"/>
                <w:sz w:val="24"/>
                <w:szCs w:val="24"/>
              </w:rPr>
            </w:pPr>
            <w:r>
              <w:rPr>
                <w:rFonts w:hint="eastAsia" w:ascii="宋体" w:hAnsi="宋体" w:eastAsia="宋体"/>
                <w:sz w:val="24"/>
                <w:szCs w:val="24"/>
              </w:rPr>
              <w:t>30</w:t>
            </w:r>
          </w:p>
        </w:tc>
        <w:tc>
          <w:tcPr>
            <w:tcW w:w="900" w:type="dxa"/>
            <w:vAlign w:val="center"/>
          </w:tcPr>
          <w:p>
            <w:pPr>
              <w:spacing w:line="240" w:lineRule="atLeast"/>
              <w:jc w:val="center"/>
              <w:rPr>
                <w:rFonts w:ascii="宋体" w:hAnsi="宋体" w:eastAsia="宋体"/>
                <w:sz w:val="24"/>
                <w:szCs w:val="24"/>
              </w:rPr>
            </w:pPr>
            <w:r>
              <w:rPr>
                <w:rFonts w:hint="eastAsia" w:ascii="宋体" w:hAnsi="宋体" w:eastAsia="宋体"/>
                <w:sz w:val="24"/>
                <w:szCs w:val="24"/>
              </w:rPr>
              <w:t>4</w:t>
            </w: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t>备注：本科、硕士、高级职称、专业课及实心指导教师人数为专任教师中的人数；双师型教师人数为专业课及实习指导教师中的人数。</w:t>
      </w:r>
      <w:r>
        <w:rPr>
          <w:rFonts w:ascii="宋体" w:hAnsi="宋体" w:eastAsia="宋体" w:cs="宋体"/>
          <w:kern w:val="0"/>
          <w:sz w:val="24"/>
          <w:szCs w:val="24"/>
        </w:rPr>
        <w:br w:type="textWrapping"/>
      </w:r>
      <w:r>
        <w:rPr>
          <w:rFonts w:ascii="宋体" w:hAnsi="宋体" w:eastAsia="宋体" w:cs="宋体"/>
          <w:kern w:val="0"/>
          <w:sz w:val="24"/>
          <w:szCs w:val="24"/>
        </w:rPr>
        <w:t>1.4设施设备。</w:t>
      </w:r>
      <w:r>
        <w:rPr>
          <w:rFonts w:ascii="宋体" w:hAnsi="宋体" w:eastAsia="宋体" w:cs="宋体"/>
          <w:kern w:val="0"/>
          <w:sz w:val="24"/>
          <w:szCs w:val="24"/>
        </w:rPr>
        <w:br w:type="textWrapping"/>
      </w:r>
      <w:r>
        <w:rPr>
          <w:rFonts w:ascii="宋体" w:hAnsi="宋体" w:eastAsia="宋体" w:cs="宋体"/>
          <w:kern w:val="0"/>
          <w:sz w:val="24"/>
          <w:szCs w:val="24"/>
        </w:rPr>
        <w:t>1.4.1仪器设备。</w:t>
      </w:r>
      <w:r>
        <w:rPr>
          <w:rFonts w:ascii="宋体" w:hAnsi="宋体" w:eastAsia="宋体" w:cs="宋体"/>
          <w:kern w:val="0"/>
          <w:sz w:val="24"/>
          <w:szCs w:val="24"/>
        </w:rPr>
        <w:br w:type="textWrapping"/>
      </w:r>
      <w:r>
        <w:rPr>
          <w:rFonts w:ascii="宋体" w:hAnsi="宋体" w:eastAsia="宋体" w:cs="宋体"/>
          <w:kern w:val="0"/>
          <w:sz w:val="24"/>
          <w:szCs w:val="24"/>
        </w:rPr>
        <w:t>学校仪器设备资产总值</w:t>
      </w:r>
      <w:r>
        <w:rPr>
          <w:rFonts w:hint="eastAsia" w:ascii="宋体" w:hAnsi="宋体" w:eastAsia="宋体"/>
          <w:bCs/>
          <w:sz w:val="24"/>
          <w:szCs w:val="24"/>
          <w:u w:val="single"/>
        </w:rPr>
        <w:t>1500000</w:t>
      </w:r>
      <w:r>
        <w:rPr>
          <w:rFonts w:ascii="宋体" w:hAnsi="宋体" w:eastAsia="宋体" w:cs="宋体"/>
          <w:kern w:val="0"/>
          <w:sz w:val="24"/>
          <w:szCs w:val="24"/>
        </w:rPr>
        <w:t>元，生均教学仪器设备值</w:t>
      </w:r>
      <w:r>
        <w:rPr>
          <w:rFonts w:hint="eastAsia" w:ascii="宋体" w:hAnsi="宋体" w:eastAsia="宋体"/>
          <w:bCs/>
          <w:sz w:val="24"/>
          <w:szCs w:val="24"/>
          <w:u w:val="single"/>
        </w:rPr>
        <w:t>1268</w:t>
      </w:r>
      <w:r>
        <w:rPr>
          <w:rFonts w:ascii="宋体" w:hAnsi="宋体" w:eastAsia="宋体" w:cs="宋体"/>
          <w:kern w:val="0"/>
          <w:sz w:val="24"/>
          <w:szCs w:val="24"/>
        </w:rPr>
        <w:t>元，实训工位总数</w:t>
      </w:r>
      <w:r>
        <w:rPr>
          <w:rFonts w:hint="eastAsia" w:ascii="宋体" w:hAnsi="宋体" w:eastAsia="宋体"/>
          <w:bCs/>
          <w:sz w:val="24"/>
          <w:szCs w:val="24"/>
          <w:u w:val="single"/>
        </w:rPr>
        <w:t>190</w:t>
      </w:r>
      <w:r>
        <w:rPr>
          <w:rFonts w:ascii="宋体" w:hAnsi="宋体" w:eastAsia="宋体" w:cs="宋体"/>
          <w:kern w:val="0"/>
          <w:sz w:val="24"/>
          <w:szCs w:val="24"/>
        </w:rPr>
        <w:t>个，生均实训实习工位数</w:t>
      </w:r>
      <w:r>
        <w:rPr>
          <w:rFonts w:hint="eastAsia" w:ascii="宋体" w:hAnsi="宋体" w:eastAsia="宋体"/>
          <w:bCs/>
          <w:sz w:val="24"/>
          <w:szCs w:val="24"/>
          <w:u w:val="single"/>
        </w:rPr>
        <w:t>0.16</w:t>
      </w:r>
      <w:r>
        <w:rPr>
          <w:rFonts w:ascii="宋体" w:hAnsi="宋体" w:eastAsia="宋体" w:cs="宋体"/>
          <w:kern w:val="0"/>
          <w:sz w:val="24"/>
          <w:szCs w:val="24"/>
        </w:rPr>
        <w:t>个，较上年平均每生</w:t>
      </w:r>
      <w:r>
        <w:rPr>
          <w:rFonts w:hint="eastAsia" w:ascii="宋体" w:hAnsi="宋体" w:eastAsia="宋体" w:cs="宋体"/>
          <w:kern w:val="0"/>
          <w:sz w:val="24"/>
          <w:szCs w:val="24"/>
        </w:rPr>
        <w:t>增加</w:t>
      </w:r>
      <w:r>
        <w:rPr>
          <w:rFonts w:ascii="宋体" w:hAnsi="宋体" w:eastAsia="宋体" w:cs="宋体"/>
          <w:kern w:val="0"/>
          <w:sz w:val="24"/>
          <w:szCs w:val="24"/>
        </w:rPr>
        <w:t>工位数0</w:t>
      </w:r>
      <w:r>
        <w:rPr>
          <w:rFonts w:hint="eastAsia" w:ascii="宋体" w:hAnsi="宋体" w:eastAsia="宋体" w:cs="宋体"/>
          <w:kern w:val="0"/>
          <w:sz w:val="24"/>
          <w:szCs w:val="24"/>
        </w:rPr>
        <w:t>.09</w:t>
      </w:r>
      <w:r>
        <w:rPr>
          <w:rFonts w:ascii="宋体" w:hAnsi="宋体" w:eastAsia="宋体" w:cs="宋体"/>
          <w:kern w:val="0"/>
          <w:sz w:val="24"/>
          <w:szCs w:val="24"/>
        </w:rPr>
        <w:t>个，主要是</w:t>
      </w:r>
      <w:r>
        <w:rPr>
          <w:rFonts w:hint="eastAsia" w:ascii="宋体" w:hAnsi="宋体" w:eastAsia="宋体" w:cs="宋体"/>
          <w:kern w:val="0"/>
          <w:sz w:val="24"/>
          <w:szCs w:val="24"/>
        </w:rPr>
        <w:t>2</w:t>
      </w:r>
      <w:r>
        <w:rPr>
          <w:rFonts w:ascii="宋体" w:hAnsi="宋体" w:eastAsia="宋体" w:cs="宋体"/>
          <w:kern w:val="0"/>
          <w:sz w:val="24"/>
          <w:szCs w:val="24"/>
        </w:rPr>
        <w:t>018年</w:t>
      </w:r>
      <w:r>
        <w:rPr>
          <w:rFonts w:hint="eastAsia" w:ascii="宋体" w:hAnsi="宋体" w:eastAsia="宋体" w:cs="宋体"/>
          <w:kern w:val="0"/>
          <w:sz w:val="24"/>
          <w:szCs w:val="24"/>
        </w:rPr>
        <w:t>新建设4个实训室</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1.4.2图书资料。</w:t>
      </w:r>
      <w:r>
        <w:rPr>
          <w:rFonts w:ascii="宋体" w:hAnsi="宋体" w:eastAsia="宋体" w:cs="宋体"/>
          <w:kern w:val="0"/>
          <w:sz w:val="24"/>
          <w:szCs w:val="24"/>
        </w:rPr>
        <w:br w:type="textWrapping"/>
      </w:r>
      <w:r>
        <w:rPr>
          <w:rFonts w:ascii="宋体" w:hAnsi="宋体" w:eastAsia="宋体" w:cs="宋体"/>
          <w:kern w:val="0"/>
          <w:sz w:val="24"/>
          <w:szCs w:val="24"/>
        </w:rPr>
        <w:t>学校有满足学生阅览的图书室，纸质图书</w:t>
      </w:r>
      <w:r>
        <w:rPr>
          <w:rFonts w:hint="eastAsia" w:ascii="宋体" w:hAnsi="宋体" w:eastAsia="宋体"/>
          <w:bCs/>
          <w:sz w:val="24"/>
          <w:szCs w:val="24"/>
          <w:u w:val="single"/>
        </w:rPr>
        <w:t>22000</w:t>
      </w:r>
      <w:r>
        <w:rPr>
          <w:rFonts w:ascii="宋体" w:hAnsi="宋体" w:eastAsia="宋体" w:cs="宋体"/>
          <w:kern w:val="0"/>
          <w:sz w:val="24"/>
          <w:szCs w:val="24"/>
        </w:rPr>
        <w:t>册，生均纸质图书</w:t>
      </w:r>
      <w:r>
        <w:rPr>
          <w:rFonts w:hint="eastAsia" w:ascii="宋体" w:hAnsi="宋体" w:eastAsia="宋体" w:cs="宋体"/>
          <w:kern w:val="0"/>
          <w:sz w:val="24"/>
          <w:szCs w:val="24"/>
        </w:rPr>
        <w:t>19</w:t>
      </w:r>
      <w:r>
        <w:rPr>
          <w:rFonts w:ascii="宋体" w:hAnsi="宋体" w:eastAsia="宋体" w:cs="宋体"/>
          <w:kern w:val="0"/>
          <w:sz w:val="24"/>
          <w:szCs w:val="24"/>
        </w:rPr>
        <w:t>本，比上一年生均图书</w:t>
      </w:r>
      <w:r>
        <w:rPr>
          <w:rFonts w:hint="eastAsia" w:ascii="宋体" w:hAnsi="宋体" w:eastAsia="宋体" w:cs="宋体"/>
          <w:kern w:val="0"/>
          <w:sz w:val="24"/>
          <w:szCs w:val="24"/>
        </w:rPr>
        <w:t>增加3</w:t>
      </w:r>
      <w:r>
        <w:rPr>
          <w:rFonts w:ascii="宋体" w:hAnsi="宋体" w:eastAsia="宋体" w:cs="宋体"/>
          <w:kern w:val="0"/>
          <w:sz w:val="24"/>
          <w:szCs w:val="24"/>
        </w:rPr>
        <w:t>本。专业期刊</w:t>
      </w:r>
      <w:r>
        <w:rPr>
          <w:rFonts w:hint="eastAsia" w:ascii="宋体" w:hAnsi="宋体" w:eastAsia="宋体" w:cs="宋体"/>
          <w:kern w:val="0"/>
          <w:sz w:val="24"/>
          <w:szCs w:val="24"/>
        </w:rPr>
        <w:t>110</w:t>
      </w:r>
      <w:r>
        <w:rPr>
          <w:rFonts w:ascii="宋体" w:hAnsi="宋体" w:eastAsia="宋体" w:cs="宋体"/>
          <w:kern w:val="0"/>
          <w:sz w:val="24"/>
          <w:szCs w:val="24"/>
        </w:rPr>
        <w:t>种，能满足师生日常阅读需要。</w:t>
      </w:r>
      <w:r>
        <w:rPr>
          <w:rFonts w:ascii="宋体" w:hAnsi="宋体" w:eastAsia="宋体" w:cs="宋体"/>
          <w:kern w:val="0"/>
          <w:sz w:val="24"/>
          <w:szCs w:val="24"/>
        </w:rPr>
        <w:br w:type="textWrapping"/>
      </w:r>
      <w:r>
        <w:rPr>
          <w:rFonts w:ascii="宋体" w:hAnsi="宋体" w:eastAsia="宋体" w:cs="宋体"/>
          <w:kern w:val="0"/>
          <w:sz w:val="24"/>
          <w:szCs w:val="24"/>
        </w:rPr>
        <w:t>表1-4 近两学年中等职业学校生均设备设施情况一览表</w:t>
      </w:r>
    </w:p>
    <w:tbl>
      <w:tblPr>
        <w:tblStyle w:val="7"/>
        <w:tblpPr w:leftFromText="180" w:rightFromText="180" w:vertAnchor="text" w:horzAnchor="margin" w:tblpXSpec="center" w:tblpY="173"/>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110"/>
        <w:gridCol w:w="1158"/>
        <w:gridCol w:w="1080"/>
        <w:gridCol w:w="981"/>
        <w:gridCol w:w="861"/>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440" w:type="dxa"/>
            <w:vMerge w:val="restart"/>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学年度</w:t>
            </w:r>
          </w:p>
        </w:tc>
        <w:tc>
          <w:tcPr>
            <w:tcW w:w="2190"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教学仪器设备值</w:t>
            </w:r>
            <w:r>
              <w:rPr>
                <w:rFonts w:ascii="宋体" w:hAnsi="宋体" w:eastAsia="宋体"/>
                <w:bCs/>
                <w:sz w:val="24"/>
                <w:szCs w:val="24"/>
              </w:rPr>
              <w:t xml:space="preserve"> </w:t>
            </w:r>
            <w:r>
              <w:rPr>
                <w:rFonts w:hint="eastAsia" w:ascii="宋体" w:hAnsi="宋体" w:eastAsia="宋体"/>
                <w:bCs/>
                <w:sz w:val="24"/>
                <w:szCs w:val="24"/>
              </w:rPr>
              <w:t>（元）</w:t>
            </w:r>
          </w:p>
        </w:tc>
        <w:tc>
          <w:tcPr>
            <w:tcW w:w="2238"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实训实习工位数（个）</w:t>
            </w:r>
          </w:p>
        </w:tc>
        <w:tc>
          <w:tcPr>
            <w:tcW w:w="1842" w:type="dxa"/>
            <w:gridSpan w:val="2"/>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纸质图书数（册）</w:t>
            </w:r>
          </w:p>
        </w:tc>
        <w:tc>
          <w:tcPr>
            <w:tcW w:w="858" w:type="dxa"/>
            <w:vMerge w:val="restart"/>
            <w:vAlign w:val="center"/>
          </w:tcPr>
          <w:p>
            <w:pPr>
              <w:adjustRightInd w:val="0"/>
              <w:snapToGrid w:val="0"/>
              <w:spacing w:line="0" w:lineRule="atLeast"/>
              <w:jc w:val="center"/>
              <w:rPr>
                <w:rFonts w:ascii="宋体" w:hAnsi="宋体" w:eastAsia="宋体"/>
                <w:bCs/>
                <w:sz w:val="24"/>
                <w:szCs w:val="24"/>
              </w:rPr>
            </w:pPr>
            <w:r>
              <w:rPr>
                <w:rFonts w:ascii="宋体" w:hAnsi="宋体" w:eastAsia="宋体"/>
                <w:bCs/>
                <w:sz w:val="24"/>
                <w:szCs w:val="24"/>
              </w:rPr>
              <w:t>专业期刊（种）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40" w:type="dxa"/>
            <w:vMerge w:val="continue"/>
            <w:vAlign w:val="center"/>
          </w:tcPr>
          <w:p>
            <w:pPr>
              <w:adjustRightInd w:val="0"/>
              <w:snapToGrid w:val="0"/>
              <w:spacing w:line="0" w:lineRule="atLeast"/>
              <w:jc w:val="center"/>
              <w:rPr>
                <w:rFonts w:hint="eastAsia" w:ascii="宋体" w:hAnsi="宋体" w:eastAsia="宋体"/>
                <w:bCs/>
                <w:sz w:val="24"/>
                <w:szCs w:val="24"/>
              </w:rPr>
            </w:pPr>
          </w:p>
        </w:tc>
        <w:tc>
          <w:tcPr>
            <w:tcW w:w="1080" w:type="dxa"/>
            <w:vAlign w:val="center"/>
          </w:tcPr>
          <w:p>
            <w:pPr>
              <w:adjustRightInd w:val="0"/>
              <w:snapToGrid w:val="0"/>
              <w:spacing w:line="0" w:lineRule="atLeast"/>
              <w:jc w:val="center"/>
              <w:rPr>
                <w:rFonts w:hint="eastAsia" w:ascii="宋体" w:hAnsi="宋体" w:eastAsia="宋体"/>
                <w:bCs/>
                <w:sz w:val="24"/>
                <w:szCs w:val="24"/>
              </w:rPr>
            </w:pPr>
            <w:r>
              <w:rPr>
                <w:rFonts w:hint="eastAsia" w:ascii="宋体" w:hAnsi="宋体" w:eastAsia="宋体"/>
                <w:bCs/>
                <w:sz w:val="24"/>
                <w:szCs w:val="24"/>
              </w:rPr>
              <w:t>总数</w:t>
            </w:r>
          </w:p>
        </w:tc>
        <w:tc>
          <w:tcPr>
            <w:tcW w:w="1110" w:type="dxa"/>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生均</w:t>
            </w:r>
          </w:p>
        </w:tc>
        <w:tc>
          <w:tcPr>
            <w:tcW w:w="1158" w:type="dxa"/>
            <w:vAlign w:val="center"/>
          </w:tcPr>
          <w:p>
            <w:pPr>
              <w:adjustRightInd w:val="0"/>
              <w:snapToGrid w:val="0"/>
              <w:spacing w:line="0" w:lineRule="atLeast"/>
              <w:jc w:val="center"/>
              <w:rPr>
                <w:rFonts w:hint="eastAsia" w:ascii="宋体" w:hAnsi="宋体" w:eastAsia="宋体"/>
                <w:bCs/>
                <w:sz w:val="24"/>
                <w:szCs w:val="24"/>
              </w:rPr>
            </w:pPr>
            <w:r>
              <w:rPr>
                <w:rFonts w:hint="eastAsia" w:ascii="宋体" w:hAnsi="宋体" w:eastAsia="宋体"/>
                <w:bCs/>
                <w:sz w:val="24"/>
                <w:szCs w:val="24"/>
              </w:rPr>
              <w:t>总数</w:t>
            </w:r>
          </w:p>
        </w:tc>
        <w:tc>
          <w:tcPr>
            <w:tcW w:w="1080" w:type="dxa"/>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生均</w:t>
            </w:r>
          </w:p>
        </w:tc>
        <w:tc>
          <w:tcPr>
            <w:tcW w:w="981" w:type="dxa"/>
            <w:vAlign w:val="center"/>
          </w:tcPr>
          <w:p>
            <w:pPr>
              <w:adjustRightInd w:val="0"/>
              <w:snapToGrid w:val="0"/>
              <w:spacing w:line="0" w:lineRule="atLeast"/>
              <w:jc w:val="center"/>
              <w:rPr>
                <w:rFonts w:hint="eastAsia" w:ascii="宋体" w:hAnsi="宋体" w:eastAsia="宋体"/>
                <w:bCs/>
                <w:sz w:val="24"/>
                <w:szCs w:val="24"/>
              </w:rPr>
            </w:pPr>
            <w:r>
              <w:rPr>
                <w:rFonts w:hint="eastAsia" w:ascii="宋体" w:hAnsi="宋体" w:eastAsia="宋体"/>
                <w:bCs/>
                <w:sz w:val="24"/>
                <w:szCs w:val="24"/>
              </w:rPr>
              <w:t>总数</w:t>
            </w:r>
          </w:p>
        </w:tc>
        <w:tc>
          <w:tcPr>
            <w:tcW w:w="861" w:type="dxa"/>
            <w:vAlign w:val="center"/>
          </w:tcPr>
          <w:p>
            <w:pPr>
              <w:adjustRightInd w:val="0"/>
              <w:snapToGrid w:val="0"/>
              <w:spacing w:line="0" w:lineRule="atLeast"/>
              <w:jc w:val="center"/>
              <w:rPr>
                <w:rFonts w:ascii="宋体" w:hAnsi="宋体" w:eastAsia="宋体"/>
                <w:bCs/>
                <w:sz w:val="24"/>
                <w:szCs w:val="24"/>
              </w:rPr>
            </w:pPr>
            <w:r>
              <w:rPr>
                <w:rFonts w:hint="eastAsia" w:ascii="宋体" w:hAnsi="宋体" w:eastAsia="宋体"/>
                <w:bCs/>
                <w:sz w:val="24"/>
                <w:szCs w:val="24"/>
              </w:rPr>
              <w:t>生均</w:t>
            </w:r>
          </w:p>
        </w:tc>
        <w:tc>
          <w:tcPr>
            <w:tcW w:w="858" w:type="dxa"/>
            <w:vMerge w:val="continue"/>
            <w:vAlign w:val="center"/>
          </w:tcPr>
          <w:p>
            <w:pPr>
              <w:adjustRightInd w:val="0"/>
              <w:snapToGrid w:val="0"/>
              <w:spacing w:line="0" w:lineRule="atLeas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0" w:type="dxa"/>
            <w:tcBorders>
              <w:bottom w:val="single" w:color="auto" w:sz="4" w:space="0"/>
            </w:tcBorders>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6</w:t>
            </w:r>
            <w:r>
              <w:rPr>
                <w:rFonts w:ascii="宋体" w:hAnsi="宋体" w:eastAsia="宋体"/>
                <w:sz w:val="24"/>
                <w:szCs w:val="24"/>
              </w:rPr>
              <w:t>～201</w:t>
            </w:r>
            <w:r>
              <w:rPr>
                <w:rFonts w:hint="eastAsia" w:ascii="宋体" w:hAnsi="宋体" w:eastAsia="宋体"/>
                <w:sz w:val="24"/>
                <w:szCs w:val="24"/>
              </w:rPr>
              <w:t>7</w:t>
            </w:r>
          </w:p>
        </w:tc>
        <w:tc>
          <w:tcPr>
            <w:tcW w:w="1080" w:type="dxa"/>
            <w:tcBorders>
              <w:bottom w:val="single" w:color="auto" w:sz="4" w:space="0"/>
            </w:tcBorders>
            <w:vAlign w:val="center"/>
          </w:tcPr>
          <w:p>
            <w:pPr>
              <w:adjustRightInd w:val="0"/>
              <w:snapToGrid w:val="0"/>
              <w:spacing w:line="0" w:lineRule="atLeast"/>
              <w:jc w:val="center"/>
              <w:rPr>
                <w:rFonts w:hint="eastAsia" w:ascii="宋体" w:hAnsi="宋体" w:eastAsia="宋体"/>
                <w:bCs/>
                <w:sz w:val="24"/>
                <w:szCs w:val="24"/>
                <w:u w:val="single"/>
              </w:rPr>
            </w:pPr>
            <w:r>
              <w:rPr>
                <w:rFonts w:hint="eastAsia" w:ascii="宋体" w:hAnsi="宋体" w:eastAsia="宋体"/>
                <w:bCs/>
                <w:sz w:val="24"/>
                <w:szCs w:val="24"/>
                <w:u w:val="single"/>
              </w:rPr>
              <w:t>700000</w:t>
            </w:r>
          </w:p>
        </w:tc>
        <w:tc>
          <w:tcPr>
            <w:tcW w:w="1110" w:type="dxa"/>
            <w:tcBorders>
              <w:bottom w:val="single" w:color="auto" w:sz="4" w:space="0"/>
            </w:tcBorders>
            <w:vAlign w:val="center"/>
          </w:tcPr>
          <w:p>
            <w:pPr>
              <w:adjustRightInd w:val="0"/>
              <w:snapToGrid w:val="0"/>
              <w:spacing w:line="0" w:lineRule="atLeast"/>
              <w:jc w:val="center"/>
              <w:rPr>
                <w:rFonts w:hint="eastAsia" w:ascii="宋体" w:hAnsi="宋体" w:eastAsia="宋体"/>
                <w:bCs/>
                <w:sz w:val="24"/>
                <w:szCs w:val="24"/>
                <w:u w:val="single"/>
              </w:rPr>
            </w:pPr>
            <w:r>
              <w:rPr>
                <w:rFonts w:hint="eastAsia" w:ascii="宋体" w:hAnsi="宋体" w:eastAsia="宋体"/>
                <w:bCs/>
                <w:sz w:val="24"/>
                <w:szCs w:val="24"/>
                <w:u w:val="single"/>
              </w:rPr>
              <w:t>56</w:t>
            </w:r>
          </w:p>
        </w:tc>
        <w:tc>
          <w:tcPr>
            <w:tcW w:w="1158" w:type="dxa"/>
            <w:tcBorders>
              <w:bottom w:val="single" w:color="auto" w:sz="4" w:space="0"/>
            </w:tcBorders>
            <w:vAlign w:val="center"/>
          </w:tcPr>
          <w:p>
            <w:pPr>
              <w:adjustRightInd w:val="0"/>
              <w:snapToGrid w:val="0"/>
              <w:spacing w:line="0" w:lineRule="atLeast"/>
              <w:jc w:val="center"/>
              <w:rPr>
                <w:rFonts w:hint="eastAsia" w:ascii="宋体" w:hAnsi="宋体" w:eastAsia="宋体"/>
                <w:bCs/>
                <w:sz w:val="24"/>
                <w:szCs w:val="24"/>
                <w:u w:val="single"/>
              </w:rPr>
            </w:pPr>
            <w:r>
              <w:rPr>
                <w:rFonts w:hint="eastAsia" w:ascii="宋体" w:hAnsi="宋体" w:eastAsia="宋体"/>
                <w:bCs/>
                <w:sz w:val="24"/>
                <w:szCs w:val="24"/>
                <w:u w:val="single"/>
              </w:rPr>
              <w:t>90</w:t>
            </w:r>
          </w:p>
        </w:tc>
        <w:tc>
          <w:tcPr>
            <w:tcW w:w="1080" w:type="dxa"/>
            <w:tcBorders>
              <w:bottom w:val="single" w:color="auto" w:sz="4" w:space="0"/>
            </w:tcBorders>
            <w:vAlign w:val="center"/>
          </w:tcPr>
          <w:p>
            <w:pPr>
              <w:adjustRightInd w:val="0"/>
              <w:snapToGrid w:val="0"/>
              <w:spacing w:line="0" w:lineRule="atLeast"/>
              <w:jc w:val="center"/>
              <w:rPr>
                <w:rFonts w:hint="eastAsia" w:ascii="宋体" w:hAnsi="宋体" w:eastAsia="宋体"/>
                <w:bCs/>
                <w:sz w:val="24"/>
                <w:szCs w:val="24"/>
                <w:u w:val="single"/>
              </w:rPr>
            </w:pPr>
            <w:r>
              <w:rPr>
                <w:rFonts w:hint="eastAsia" w:ascii="宋体" w:hAnsi="宋体" w:eastAsia="宋体"/>
                <w:bCs/>
                <w:sz w:val="24"/>
                <w:szCs w:val="24"/>
                <w:u w:val="single"/>
              </w:rPr>
              <w:t>0.07</w:t>
            </w:r>
          </w:p>
        </w:tc>
        <w:tc>
          <w:tcPr>
            <w:tcW w:w="981" w:type="dxa"/>
            <w:tcBorders>
              <w:bottom w:val="single" w:color="auto" w:sz="4" w:space="0"/>
            </w:tcBorders>
            <w:vAlign w:val="center"/>
          </w:tcPr>
          <w:p>
            <w:pPr>
              <w:adjustRightInd w:val="0"/>
              <w:snapToGrid w:val="0"/>
              <w:spacing w:line="0" w:lineRule="atLeast"/>
              <w:jc w:val="center"/>
              <w:rPr>
                <w:rFonts w:hint="eastAsia" w:ascii="宋体" w:hAnsi="宋体" w:eastAsia="宋体"/>
                <w:bCs/>
                <w:sz w:val="24"/>
                <w:szCs w:val="24"/>
                <w:u w:val="single"/>
              </w:rPr>
            </w:pPr>
            <w:r>
              <w:rPr>
                <w:rFonts w:hint="eastAsia" w:ascii="宋体" w:hAnsi="宋体" w:eastAsia="宋体"/>
                <w:bCs/>
                <w:sz w:val="24"/>
                <w:szCs w:val="24"/>
                <w:u w:val="single"/>
              </w:rPr>
              <w:t>20000</w:t>
            </w:r>
          </w:p>
        </w:tc>
        <w:tc>
          <w:tcPr>
            <w:tcW w:w="861" w:type="dxa"/>
            <w:tcBorders>
              <w:bottom w:val="single" w:color="auto" w:sz="4" w:space="0"/>
            </w:tcBorders>
            <w:vAlign w:val="center"/>
          </w:tcPr>
          <w:p>
            <w:pPr>
              <w:adjustRightInd w:val="0"/>
              <w:snapToGrid w:val="0"/>
              <w:spacing w:line="0" w:lineRule="atLeast"/>
              <w:rPr>
                <w:rFonts w:ascii="宋体" w:hAnsi="宋体" w:eastAsia="宋体"/>
                <w:bCs/>
                <w:sz w:val="24"/>
                <w:szCs w:val="24"/>
                <w:u w:val="single"/>
              </w:rPr>
            </w:pPr>
            <w:r>
              <w:rPr>
                <w:rFonts w:hint="eastAsia" w:ascii="宋体" w:hAnsi="宋体" w:eastAsia="宋体"/>
                <w:bCs/>
                <w:sz w:val="24"/>
                <w:szCs w:val="24"/>
                <w:u w:val="single"/>
              </w:rPr>
              <w:t>16</w:t>
            </w:r>
          </w:p>
        </w:tc>
        <w:tc>
          <w:tcPr>
            <w:tcW w:w="858" w:type="dxa"/>
            <w:tcBorders>
              <w:bottom w:val="single" w:color="auto" w:sz="4" w:space="0"/>
            </w:tcBorders>
            <w:vAlign w:val="center"/>
          </w:tcPr>
          <w:p>
            <w:pPr>
              <w:adjustRightInd w:val="0"/>
              <w:snapToGrid w:val="0"/>
              <w:spacing w:line="0" w:lineRule="atLeast"/>
              <w:jc w:val="center"/>
              <w:rPr>
                <w:rFonts w:hint="eastAsia" w:ascii="宋体" w:hAnsi="宋体" w:eastAsia="宋体"/>
                <w:bCs/>
                <w:sz w:val="24"/>
                <w:szCs w:val="24"/>
                <w:u w:val="single"/>
              </w:rPr>
            </w:pPr>
            <w:r>
              <w:rPr>
                <w:rFonts w:hint="eastAsia" w:ascii="宋体" w:hAnsi="宋体" w:eastAsia="宋体"/>
                <w:bCs/>
                <w:sz w:val="24"/>
                <w:szCs w:val="24"/>
                <w:u w:val="singl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0" w:type="dxa"/>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1080" w:type="dxa"/>
            <w:vAlign w:val="center"/>
          </w:tcPr>
          <w:p>
            <w:pPr>
              <w:adjustRightInd w:val="0"/>
              <w:snapToGrid w:val="0"/>
              <w:spacing w:line="0" w:lineRule="atLeast"/>
              <w:jc w:val="center"/>
              <w:rPr>
                <w:rFonts w:hint="eastAsia" w:ascii="宋体" w:hAnsi="宋体" w:eastAsia="宋体"/>
                <w:bCs/>
                <w:sz w:val="24"/>
                <w:szCs w:val="24"/>
                <w:u w:val="single"/>
              </w:rPr>
            </w:pPr>
            <w:r>
              <w:rPr>
                <w:rFonts w:hint="eastAsia" w:ascii="宋体" w:hAnsi="宋体" w:eastAsia="宋体"/>
                <w:bCs/>
                <w:sz w:val="24"/>
                <w:szCs w:val="24"/>
                <w:u w:val="single"/>
              </w:rPr>
              <w:t>1500000</w:t>
            </w:r>
          </w:p>
        </w:tc>
        <w:tc>
          <w:tcPr>
            <w:tcW w:w="1110" w:type="dxa"/>
            <w:vAlign w:val="center"/>
          </w:tcPr>
          <w:p>
            <w:pPr>
              <w:adjustRightInd w:val="0"/>
              <w:snapToGrid w:val="0"/>
              <w:spacing w:line="0" w:lineRule="atLeast"/>
              <w:jc w:val="center"/>
              <w:rPr>
                <w:rFonts w:hint="eastAsia" w:ascii="宋体" w:hAnsi="宋体" w:eastAsia="宋体"/>
                <w:bCs/>
                <w:sz w:val="24"/>
                <w:szCs w:val="24"/>
                <w:u w:val="single"/>
              </w:rPr>
            </w:pPr>
            <w:r>
              <w:rPr>
                <w:rFonts w:hint="eastAsia" w:ascii="宋体" w:hAnsi="宋体" w:eastAsia="宋体"/>
                <w:bCs/>
                <w:sz w:val="24"/>
                <w:szCs w:val="24"/>
                <w:u w:val="single"/>
              </w:rPr>
              <w:t>1268</w:t>
            </w:r>
          </w:p>
        </w:tc>
        <w:tc>
          <w:tcPr>
            <w:tcW w:w="1158" w:type="dxa"/>
            <w:vAlign w:val="center"/>
          </w:tcPr>
          <w:p>
            <w:pPr>
              <w:adjustRightInd w:val="0"/>
              <w:snapToGrid w:val="0"/>
              <w:spacing w:line="0" w:lineRule="atLeast"/>
              <w:jc w:val="center"/>
              <w:rPr>
                <w:rFonts w:hint="eastAsia" w:ascii="宋体" w:hAnsi="宋体" w:eastAsia="宋体"/>
                <w:bCs/>
                <w:sz w:val="24"/>
                <w:szCs w:val="24"/>
                <w:u w:val="single"/>
              </w:rPr>
            </w:pPr>
            <w:r>
              <w:rPr>
                <w:rFonts w:hint="eastAsia" w:ascii="宋体" w:hAnsi="宋体" w:eastAsia="宋体"/>
                <w:bCs/>
                <w:sz w:val="24"/>
                <w:szCs w:val="24"/>
                <w:u w:val="single"/>
              </w:rPr>
              <w:t>190</w:t>
            </w:r>
          </w:p>
        </w:tc>
        <w:tc>
          <w:tcPr>
            <w:tcW w:w="1080" w:type="dxa"/>
            <w:vAlign w:val="center"/>
          </w:tcPr>
          <w:p>
            <w:pPr>
              <w:adjustRightInd w:val="0"/>
              <w:snapToGrid w:val="0"/>
              <w:spacing w:line="0" w:lineRule="atLeast"/>
              <w:jc w:val="center"/>
              <w:rPr>
                <w:rFonts w:hint="eastAsia" w:ascii="宋体" w:hAnsi="宋体" w:eastAsia="宋体"/>
                <w:bCs/>
                <w:sz w:val="24"/>
                <w:szCs w:val="24"/>
                <w:u w:val="single"/>
              </w:rPr>
            </w:pPr>
            <w:r>
              <w:rPr>
                <w:rFonts w:hint="eastAsia" w:ascii="宋体" w:hAnsi="宋体" w:eastAsia="宋体"/>
                <w:bCs/>
                <w:sz w:val="24"/>
                <w:szCs w:val="24"/>
                <w:u w:val="single"/>
              </w:rPr>
              <w:t>0.16</w:t>
            </w:r>
          </w:p>
        </w:tc>
        <w:tc>
          <w:tcPr>
            <w:tcW w:w="981" w:type="dxa"/>
            <w:vAlign w:val="center"/>
          </w:tcPr>
          <w:p>
            <w:pPr>
              <w:adjustRightInd w:val="0"/>
              <w:snapToGrid w:val="0"/>
              <w:spacing w:line="0" w:lineRule="atLeast"/>
              <w:rPr>
                <w:rFonts w:hint="eastAsia" w:ascii="宋体" w:hAnsi="宋体" w:eastAsia="宋体"/>
                <w:bCs/>
                <w:sz w:val="24"/>
                <w:szCs w:val="24"/>
                <w:u w:val="single"/>
              </w:rPr>
            </w:pPr>
            <w:r>
              <w:rPr>
                <w:rFonts w:hint="eastAsia" w:ascii="宋体" w:hAnsi="宋体" w:eastAsia="宋体"/>
                <w:bCs/>
                <w:sz w:val="24"/>
                <w:szCs w:val="24"/>
                <w:u w:val="single"/>
              </w:rPr>
              <w:t>22000</w:t>
            </w:r>
          </w:p>
        </w:tc>
        <w:tc>
          <w:tcPr>
            <w:tcW w:w="861" w:type="dxa"/>
            <w:vAlign w:val="center"/>
          </w:tcPr>
          <w:p>
            <w:pPr>
              <w:adjustRightInd w:val="0"/>
              <w:snapToGrid w:val="0"/>
              <w:spacing w:line="0" w:lineRule="atLeast"/>
              <w:jc w:val="center"/>
              <w:rPr>
                <w:rFonts w:ascii="宋体" w:hAnsi="宋体" w:eastAsia="宋体"/>
                <w:bCs/>
                <w:sz w:val="24"/>
                <w:szCs w:val="24"/>
                <w:u w:val="single"/>
              </w:rPr>
            </w:pPr>
            <w:r>
              <w:rPr>
                <w:rFonts w:hint="eastAsia" w:ascii="宋体" w:hAnsi="宋体" w:eastAsia="宋体"/>
                <w:bCs/>
                <w:sz w:val="24"/>
                <w:szCs w:val="24"/>
                <w:u w:val="single"/>
              </w:rPr>
              <w:t>19</w:t>
            </w:r>
          </w:p>
        </w:tc>
        <w:tc>
          <w:tcPr>
            <w:tcW w:w="858" w:type="dxa"/>
            <w:vAlign w:val="center"/>
          </w:tcPr>
          <w:p>
            <w:pPr>
              <w:adjustRightInd w:val="0"/>
              <w:snapToGrid w:val="0"/>
              <w:spacing w:line="0" w:lineRule="atLeast"/>
              <w:jc w:val="center"/>
              <w:rPr>
                <w:rFonts w:hint="eastAsia" w:ascii="宋体" w:hAnsi="宋体" w:eastAsia="宋体"/>
                <w:bCs/>
                <w:sz w:val="24"/>
                <w:szCs w:val="24"/>
                <w:u w:val="single"/>
              </w:rPr>
            </w:pPr>
            <w:r>
              <w:rPr>
                <w:rFonts w:hint="eastAsia" w:ascii="宋体" w:hAnsi="宋体" w:eastAsia="宋体"/>
                <w:bCs/>
                <w:sz w:val="24"/>
                <w:szCs w:val="24"/>
                <w:u w:val="single"/>
              </w:rPr>
              <w:t>110</w:t>
            </w: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t>2.学生发展</w:t>
      </w:r>
      <w:r>
        <w:rPr>
          <w:rFonts w:ascii="宋体" w:hAnsi="宋体" w:eastAsia="宋体" w:cs="宋体"/>
          <w:kern w:val="0"/>
          <w:sz w:val="24"/>
          <w:szCs w:val="24"/>
        </w:rPr>
        <w:br w:type="textWrapping"/>
      </w:r>
      <w:r>
        <w:rPr>
          <w:rFonts w:ascii="宋体" w:hAnsi="宋体" w:eastAsia="宋体" w:cs="宋体"/>
          <w:kern w:val="0"/>
          <w:sz w:val="24"/>
          <w:szCs w:val="24"/>
        </w:rPr>
        <w:t>2.1学生素质。</w:t>
      </w:r>
      <w:r>
        <w:rPr>
          <w:rFonts w:ascii="宋体" w:hAnsi="宋体" w:eastAsia="宋体" w:cs="宋体"/>
          <w:kern w:val="0"/>
          <w:sz w:val="24"/>
          <w:szCs w:val="24"/>
        </w:rPr>
        <w:br w:type="textWrapping"/>
      </w:r>
      <w:r>
        <w:rPr>
          <w:rFonts w:ascii="宋体" w:hAnsi="宋体" w:eastAsia="宋体" w:cs="宋体"/>
          <w:kern w:val="0"/>
          <w:sz w:val="24"/>
          <w:szCs w:val="24"/>
        </w:rPr>
        <w:t>2.1.1培养内容。</w:t>
      </w:r>
      <w:r>
        <w:rPr>
          <w:rFonts w:ascii="宋体" w:hAnsi="宋体" w:eastAsia="宋体" w:cs="宋体"/>
          <w:kern w:val="0"/>
          <w:sz w:val="24"/>
          <w:szCs w:val="24"/>
        </w:rPr>
        <w:br w:type="textWrapping"/>
      </w:r>
      <w:r>
        <w:rPr>
          <w:rFonts w:hint="eastAsia" w:ascii="宋体" w:hAnsi="宋体" w:eastAsia="宋体" w:cs="Arial"/>
          <w:color w:val="555555"/>
          <w:sz w:val="24"/>
          <w:szCs w:val="24"/>
        </w:rPr>
        <w:t xml:space="preserve"> </w:t>
      </w:r>
      <w:r>
        <w:rPr>
          <w:rFonts w:ascii="宋体" w:hAnsi="宋体" w:eastAsia="宋体" w:cs="Arial"/>
          <w:color w:val="555555"/>
          <w:sz w:val="24"/>
          <w:szCs w:val="24"/>
        </w:rPr>
        <w:t xml:space="preserve">   </w:t>
      </w:r>
      <w:r>
        <w:rPr>
          <w:rFonts w:hint="eastAsia" w:ascii="宋体" w:hAnsi="宋体" w:eastAsia="宋体" w:cs="Arial"/>
          <w:color w:val="555555"/>
          <w:sz w:val="24"/>
          <w:szCs w:val="24"/>
        </w:rPr>
        <w:t>学校坚持以习近平总书记提出的“产教融合、校企合作，工学一体、知行合一”为指导思想，探索出了</w:t>
      </w:r>
      <w:r>
        <w:rPr>
          <w:rFonts w:hint="eastAsia" w:ascii="宋体" w:hAnsi="宋体" w:eastAsia="宋体"/>
          <w:color w:val="555555"/>
          <w:sz w:val="24"/>
          <w:szCs w:val="24"/>
          <w:shd w:val="clear" w:color="auto" w:fill="FFFFFF"/>
        </w:rPr>
        <w:t>“一二三四”的办学道路，即以“服务实体经济发展为中心”，以“学院围绕企业转，学生围绕市场转”为办学思路，努力建设阜阳市“高技能人才培养平台”、“招商引智平台”、“双创孵化平台”，探索出了“学校像工厂、教室像车间、老师像师傅、学生像徒弟”的“四像办学模式”。</w:t>
      </w:r>
      <w:r>
        <w:rPr>
          <w:rFonts w:ascii="宋体" w:hAnsi="宋体" w:eastAsia="宋体" w:cs="宋体"/>
          <w:kern w:val="0"/>
          <w:sz w:val="24"/>
          <w:szCs w:val="24"/>
        </w:rPr>
        <w:t>注重学生思想品德教育，通过丰富多彩的活动引领学生，开齐开足德育课，在校生犯罪率为零；强化教学常规管理，注重学生专业思想教育，不断提高学生学习的积极性，学生思想品德课合格率达</w:t>
      </w:r>
      <w:r>
        <w:rPr>
          <w:rFonts w:hint="eastAsia" w:ascii="宋体" w:hAnsi="宋体" w:eastAsia="宋体" w:cs="宋体"/>
          <w:kern w:val="0"/>
          <w:sz w:val="24"/>
          <w:szCs w:val="24"/>
        </w:rPr>
        <w:t>99</w:t>
      </w:r>
      <w:r>
        <w:rPr>
          <w:rFonts w:ascii="宋体" w:hAnsi="宋体" w:eastAsia="宋体" w:cs="宋体"/>
          <w:kern w:val="0"/>
          <w:sz w:val="24"/>
          <w:szCs w:val="24"/>
        </w:rPr>
        <w:t>%</w:t>
      </w:r>
      <w:r>
        <w:rPr>
          <w:rFonts w:hint="eastAsia" w:ascii="宋体" w:hAnsi="宋体" w:eastAsia="宋体" w:cs="宋体"/>
          <w:kern w:val="0"/>
          <w:sz w:val="24"/>
          <w:szCs w:val="24"/>
        </w:rPr>
        <w:t>以上</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学校以培养就业和职对口高考为引领，抓紧抓牢文化课教育，教务管理部门对基础文化课教育实施统一测试，提高人才培养质量，组织学生参加文化课考试，文化课合格率达</w:t>
      </w:r>
      <w:r>
        <w:rPr>
          <w:rFonts w:hint="eastAsia" w:ascii="宋体" w:hAnsi="宋体" w:eastAsia="宋体" w:cs="宋体"/>
          <w:kern w:val="0"/>
          <w:sz w:val="24"/>
          <w:szCs w:val="24"/>
        </w:rPr>
        <w:t>99</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学校有序开展技能训练，按照人才培养方案开展专业技能训练，学生技能水平得到明显提升，学生专业技能测试合格率达</w:t>
      </w:r>
      <w:r>
        <w:rPr>
          <w:rFonts w:hint="eastAsia" w:ascii="宋体" w:hAnsi="宋体" w:eastAsia="宋体" w:cs="宋体"/>
          <w:kern w:val="0"/>
          <w:sz w:val="24"/>
          <w:szCs w:val="24"/>
        </w:rPr>
        <w:t>99</w:t>
      </w:r>
      <w:r>
        <w:rPr>
          <w:rFonts w:ascii="宋体" w:hAnsi="宋体" w:eastAsia="宋体" w:cs="宋体"/>
          <w:kern w:val="0"/>
          <w:sz w:val="24"/>
          <w:szCs w:val="24"/>
        </w:rPr>
        <w:t>%以上。</w:t>
      </w:r>
      <w:r>
        <w:rPr>
          <w:rFonts w:ascii="宋体" w:hAnsi="宋体" w:eastAsia="宋体" w:cs="宋体"/>
          <w:kern w:val="0"/>
          <w:sz w:val="24"/>
          <w:szCs w:val="24"/>
        </w:rPr>
        <w:br w:type="textWrapping"/>
      </w:r>
      <w:r>
        <w:rPr>
          <w:rFonts w:ascii="宋体" w:hAnsi="宋体" w:eastAsia="宋体" w:cs="宋体"/>
          <w:kern w:val="0"/>
          <w:sz w:val="24"/>
          <w:szCs w:val="24"/>
        </w:rPr>
        <w:t>重视体育卫生工作，开齐、开足体育课、音乐课，加强学生体质监控，学生体质测评合格率达99%。</w:t>
      </w:r>
      <w:r>
        <w:rPr>
          <w:rFonts w:ascii="宋体" w:hAnsi="宋体" w:eastAsia="宋体" w:cs="宋体"/>
          <w:kern w:val="0"/>
          <w:sz w:val="24"/>
          <w:szCs w:val="24"/>
        </w:rPr>
        <w:br w:type="textWrapping"/>
      </w:r>
      <w:r>
        <w:rPr>
          <w:rFonts w:ascii="宋体" w:hAnsi="宋体" w:eastAsia="宋体" w:cs="宋体"/>
          <w:kern w:val="0"/>
          <w:sz w:val="24"/>
          <w:szCs w:val="24"/>
        </w:rPr>
        <w:t>规范学籍管理，注重学业水平监控，学生毕业率达</w:t>
      </w:r>
      <w:r>
        <w:rPr>
          <w:rFonts w:hint="eastAsia" w:ascii="宋体" w:hAnsi="宋体" w:eastAsia="宋体" w:cs="宋体"/>
          <w:kern w:val="0"/>
          <w:sz w:val="24"/>
          <w:szCs w:val="24"/>
        </w:rPr>
        <w:t>100</w:t>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表2-1 近两学年中等职业学校学生素质发展情况一览表</w:t>
      </w:r>
    </w:p>
    <w:tbl>
      <w:tblPr>
        <w:tblStyle w:val="7"/>
        <w:tblW w:w="9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794"/>
        <w:gridCol w:w="682"/>
        <w:gridCol w:w="709"/>
        <w:gridCol w:w="901"/>
        <w:gridCol w:w="819"/>
        <w:gridCol w:w="804"/>
        <w:gridCol w:w="720"/>
        <w:gridCol w:w="901"/>
        <w:gridCol w:w="10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49"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1476"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思想品德鉴定</w:t>
            </w:r>
          </w:p>
        </w:tc>
        <w:tc>
          <w:tcPr>
            <w:tcW w:w="1610"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文化课测试</w:t>
            </w:r>
          </w:p>
        </w:tc>
        <w:tc>
          <w:tcPr>
            <w:tcW w:w="1623"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专业技能测试</w:t>
            </w:r>
          </w:p>
        </w:tc>
        <w:tc>
          <w:tcPr>
            <w:tcW w:w="1621"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体质测评</w:t>
            </w:r>
          </w:p>
        </w:tc>
        <w:tc>
          <w:tcPr>
            <w:tcW w:w="1975"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毕业率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1349"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79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参加鉴定人数</w:t>
            </w:r>
          </w:p>
        </w:tc>
        <w:tc>
          <w:tcPr>
            <w:tcW w:w="682"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709"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参加测试人数</w:t>
            </w:r>
          </w:p>
        </w:tc>
        <w:tc>
          <w:tcPr>
            <w:tcW w:w="90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819"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参加测试人数</w:t>
            </w:r>
          </w:p>
        </w:tc>
        <w:tc>
          <w:tcPr>
            <w:tcW w:w="80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72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参加测评人数</w:t>
            </w:r>
          </w:p>
        </w:tc>
        <w:tc>
          <w:tcPr>
            <w:tcW w:w="90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合格人数</w:t>
            </w:r>
          </w:p>
        </w:tc>
        <w:tc>
          <w:tcPr>
            <w:tcW w:w="1075"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毕业年级学生（人）</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jc w:val="center"/>
        </w:trPr>
        <w:tc>
          <w:tcPr>
            <w:tcW w:w="1349" w:type="dxa"/>
            <w:tcBorders>
              <w:bottom w:val="single" w:color="auto" w:sz="4" w:space="0"/>
            </w:tcBorders>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6</w:t>
            </w:r>
            <w:r>
              <w:rPr>
                <w:rFonts w:ascii="宋体" w:hAnsi="宋体" w:eastAsia="宋体"/>
                <w:sz w:val="24"/>
                <w:szCs w:val="24"/>
              </w:rPr>
              <w:t>～201</w:t>
            </w:r>
            <w:r>
              <w:rPr>
                <w:rFonts w:hint="eastAsia" w:ascii="宋体" w:hAnsi="宋体" w:eastAsia="宋体"/>
                <w:sz w:val="24"/>
                <w:szCs w:val="24"/>
              </w:rPr>
              <w:t>7</w:t>
            </w:r>
          </w:p>
        </w:tc>
        <w:tc>
          <w:tcPr>
            <w:tcW w:w="794" w:type="dxa"/>
            <w:vAlign w:val="center"/>
          </w:tcPr>
          <w:p>
            <w:pPr>
              <w:adjustRightInd w:val="0"/>
              <w:snapToGrid w:val="0"/>
              <w:spacing w:line="220" w:lineRule="atLeast"/>
              <w:rPr>
                <w:rFonts w:hint="eastAsia" w:ascii="宋体" w:hAnsi="宋体" w:eastAsia="宋体"/>
                <w:sz w:val="24"/>
                <w:szCs w:val="24"/>
                <w:u w:val="single"/>
              </w:rPr>
            </w:pPr>
            <w:r>
              <w:rPr>
                <w:rFonts w:hint="eastAsia" w:ascii="宋体" w:hAnsi="宋体" w:eastAsia="宋体"/>
                <w:sz w:val="24"/>
                <w:szCs w:val="24"/>
                <w:u w:val="single"/>
              </w:rPr>
              <w:t>1242</w:t>
            </w:r>
          </w:p>
        </w:tc>
        <w:tc>
          <w:tcPr>
            <w:tcW w:w="682" w:type="dxa"/>
            <w:vAlign w:val="center"/>
          </w:tcPr>
          <w:p>
            <w:pPr>
              <w:adjustRightInd w:val="0"/>
              <w:snapToGrid w:val="0"/>
              <w:spacing w:line="220" w:lineRule="atLeast"/>
              <w:rPr>
                <w:rFonts w:hint="eastAsia" w:ascii="宋体" w:hAnsi="宋体" w:eastAsia="宋体"/>
                <w:sz w:val="24"/>
                <w:szCs w:val="24"/>
                <w:u w:val="single"/>
              </w:rPr>
            </w:pPr>
            <w:r>
              <w:rPr>
                <w:rFonts w:hint="eastAsia" w:ascii="宋体" w:hAnsi="宋体" w:eastAsia="宋体"/>
                <w:sz w:val="24"/>
                <w:szCs w:val="24"/>
                <w:u w:val="single"/>
              </w:rPr>
              <w:t>1238</w:t>
            </w:r>
          </w:p>
        </w:tc>
        <w:tc>
          <w:tcPr>
            <w:tcW w:w="709" w:type="dxa"/>
            <w:vAlign w:val="center"/>
          </w:tcPr>
          <w:p>
            <w:pPr>
              <w:adjustRightInd w:val="0"/>
              <w:snapToGrid w:val="0"/>
              <w:spacing w:line="220" w:lineRule="atLeast"/>
              <w:rPr>
                <w:rFonts w:hint="eastAsia" w:ascii="宋体" w:hAnsi="宋体" w:eastAsia="宋体"/>
                <w:sz w:val="24"/>
                <w:szCs w:val="24"/>
                <w:u w:val="single"/>
              </w:rPr>
            </w:pPr>
            <w:r>
              <w:rPr>
                <w:rFonts w:hint="eastAsia" w:ascii="宋体" w:hAnsi="宋体" w:eastAsia="宋体"/>
                <w:sz w:val="24"/>
                <w:szCs w:val="24"/>
                <w:u w:val="single"/>
              </w:rPr>
              <w:t>1242</w:t>
            </w:r>
          </w:p>
        </w:tc>
        <w:tc>
          <w:tcPr>
            <w:tcW w:w="901" w:type="dxa"/>
            <w:vAlign w:val="center"/>
          </w:tcPr>
          <w:p>
            <w:pPr>
              <w:adjustRightInd w:val="0"/>
              <w:snapToGrid w:val="0"/>
              <w:spacing w:line="220" w:lineRule="atLeast"/>
              <w:rPr>
                <w:rFonts w:hint="eastAsia" w:ascii="宋体" w:hAnsi="宋体" w:eastAsia="宋体"/>
                <w:sz w:val="24"/>
                <w:szCs w:val="24"/>
                <w:u w:val="single"/>
              </w:rPr>
            </w:pPr>
            <w:r>
              <w:rPr>
                <w:rFonts w:hint="eastAsia" w:ascii="宋体" w:hAnsi="宋体" w:eastAsia="宋体"/>
                <w:sz w:val="24"/>
                <w:szCs w:val="24"/>
                <w:u w:val="single"/>
              </w:rPr>
              <w:t>1123</w:t>
            </w:r>
          </w:p>
        </w:tc>
        <w:tc>
          <w:tcPr>
            <w:tcW w:w="819" w:type="dxa"/>
            <w:vAlign w:val="center"/>
          </w:tcPr>
          <w:p>
            <w:pPr>
              <w:adjustRightInd w:val="0"/>
              <w:snapToGrid w:val="0"/>
              <w:spacing w:line="220" w:lineRule="atLeast"/>
              <w:rPr>
                <w:rFonts w:hint="eastAsia" w:ascii="宋体" w:hAnsi="宋体" w:eastAsia="宋体"/>
                <w:sz w:val="24"/>
                <w:szCs w:val="24"/>
                <w:u w:val="single"/>
              </w:rPr>
            </w:pPr>
            <w:r>
              <w:rPr>
                <w:rFonts w:hint="eastAsia" w:ascii="宋体" w:hAnsi="宋体" w:eastAsia="宋体"/>
                <w:sz w:val="24"/>
                <w:szCs w:val="24"/>
                <w:u w:val="single"/>
              </w:rPr>
              <w:t>1242</w:t>
            </w:r>
          </w:p>
        </w:tc>
        <w:tc>
          <w:tcPr>
            <w:tcW w:w="804" w:type="dxa"/>
            <w:vAlign w:val="center"/>
          </w:tcPr>
          <w:p>
            <w:pPr>
              <w:adjustRightInd w:val="0"/>
              <w:snapToGrid w:val="0"/>
              <w:spacing w:line="220" w:lineRule="atLeast"/>
              <w:rPr>
                <w:rFonts w:hint="eastAsia" w:ascii="宋体" w:hAnsi="宋体" w:eastAsia="宋体"/>
                <w:sz w:val="24"/>
                <w:szCs w:val="24"/>
                <w:u w:val="single"/>
              </w:rPr>
            </w:pPr>
            <w:r>
              <w:rPr>
                <w:rFonts w:hint="eastAsia" w:ascii="宋体" w:hAnsi="宋体" w:eastAsia="宋体"/>
                <w:sz w:val="24"/>
                <w:szCs w:val="24"/>
                <w:u w:val="single"/>
              </w:rPr>
              <w:t>1170</w:t>
            </w:r>
          </w:p>
        </w:tc>
        <w:tc>
          <w:tcPr>
            <w:tcW w:w="720" w:type="dxa"/>
            <w:vAlign w:val="center"/>
          </w:tcPr>
          <w:p>
            <w:pPr>
              <w:adjustRightInd w:val="0"/>
              <w:snapToGrid w:val="0"/>
              <w:spacing w:line="220" w:lineRule="atLeast"/>
              <w:rPr>
                <w:rFonts w:hint="eastAsia" w:ascii="宋体" w:hAnsi="宋体" w:eastAsia="宋体"/>
                <w:sz w:val="24"/>
                <w:szCs w:val="24"/>
                <w:u w:val="single"/>
              </w:rPr>
            </w:pPr>
            <w:r>
              <w:rPr>
                <w:rFonts w:hint="eastAsia" w:ascii="宋体" w:hAnsi="宋体" w:eastAsia="宋体"/>
                <w:sz w:val="24"/>
                <w:szCs w:val="24"/>
                <w:u w:val="single"/>
              </w:rPr>
              <w:t>1242</w:t>
            </w:r>
          </w:p>
        </w:tc>
        <w:tc>
          <w:tcPr>
            <w:tcW w:w="901" w:type="dxa"/>
            <w:vAlign w:val="center"/>
          </w:tcPr>
          <w:p>
            <w:pPr>
              <w:adjustRightInd w:val="0"/>
              <w:snapToGrid w:val="0"/>
              <w:spacing w:line="220" w:lineRule="atLeast"/>
              <w:rPr>
                <w:rFonts w:hint="eastAsia" w:ascii="宋体" w:hAnsi="宋体" w:eastAsia="宋体"/>
                <w:sz w:val="24"/>
                <w:szCs w:val="24"/>
                <w:u w:val="single"/>
              </w:rPr>
            </w:pPr>
            <w:r>
              <w:rPr>
                <w:rFonts w:hint="eastAsia" w:ascii="宋体" w:hAnsi="宋体" w:eastAsia="宋体"/>
                <w:sz w:val="24"/>
                <w:szCs w:val="24"/>
                <w:u w:val="single"/>
              </w:rPr>
              <w:t>1236</w:t>
            </w:r>
          </w:p>
        </w:tc>
        <w:tc>
          <w:tcPr>
            <w:tcW w:w="1075" w:type="dxa"/>
            <w:vAlign w:val="center"/>
          </w:tcPr>
          <w:p>
            <w:pPr>
              <w:adjustRightInd w:val="0"/>
              <w:snapToGrid w:val="0"/>
              <w:spacing w:line="220" w:lineRule="atLeast"/>
              <w:rPr>
                <w:rFonts w:hint="eastAsia" w:ascii="宋体" w:hAnsi="宋体" w:eastAsia="宋体"/>
                <w:sz w:val="24"/>
                <w:szCs w:val="24"/>
                <w:u w:val="single"/>
              </w:rPr>
            </w:pPr>
            <w:r>
              <w:rPr>
                <w:rFonts w:hint="eastAsia" w:ascii="宋体" w:hAnsi="宋体" w:eastAsia="宋体"/>
                <w:sz w:val="24"/>
                <w:szCs w:val="24"/>
                <w:u w:val="single"/>
              </w:rPr>
              <w:t>303</w:t>
            </w:r>
          </w:p>
        </w:tc>
        <w:tc>
          <w:tcPr>
            <w:tcW w:w="900" w:type="dxa"/>
            <w:vAlign w:val="center"/>
          </w:tcPr>
          <w:p>
            <w:pPr>
              <w:adjustRightInd w:val="0"/>
              <w:snapToGrid w:val="0"/>
              <w:spacing w:line="220" w:lineRule="atLeast"/>
              <w:rPr>
                <w:rFonts w:hint="eastAsia" w:ascii="宋体" w:hAnsi="宋体" w:eastAsia="宋体"/>
                <w:sz w:val="24"/>
                <w:szCs w:val="24"/>
                <w:u w:val="single"/>
              </w:rPr>
            </w:pPr>
            <w:r>
              <w:rPr>
                <w:rFonts w:hint="eastAsia" w:ascii="宋体" w:hAnsi="宋体" w:eastAsia="宋体"/>
                <w:sz w:val="24"/>
                <w:szCs w:val="24"/>
                <w:u w:val="single"/>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jc w:val="center"/>
        </w:trPr>
        <w:tc>
          <w:tcPr>
            <w:tcW w:w="1349" w:type="dxa"/>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794" w:type="dxa"/>
            <w:vAlign w:val="center"/>
          </w:tcPr>
          <w:p>
            <w:pPr>
              <w:adjustRightInd w:val="0"/>
              <w:snapToGrid w:val="0"/>
              <w:spacing w:line="220" w:lineRule="atLeast"/>
              <w:rPr>
                <w:rFonts w:hint="eastAsia" w:ascii="宋体" w:hAnsi="宋体" w:eastAsia="宋体"/>
                <w:sz w:val="24"/>
                <w:szCs w:val="24"/>
              </w:rPr>
            </w:pPr>
            <w:r>
              <w:rPr>
                <w:rFonts w:hint="eastAsia" w:ascii="宋体" w:hAnsi="宋体" w:eastAsia="宋体"/>
                <w:sz w:val="24"/>
                <w:szCs w:val="24"/>
              </w:rPr>
              <w:t>1183</w:t>
            </w:r>
          </w:p>
        </w:tc>
        <w:tc>
          <w:tcPr>
            <w:tcW w:w="682" w:type="dxa"/>
            <w:vAlign w:val="center"/>
          </w:tcPr>
          <w:p>
            <w:pPr>
              <w:adjustRightInd w:val="0"/>
              <w:snapToGrid w:val="0"/>
              <w:spacing w:line="220" w:lineRule="atLeast"/>
              <w:rPr>
                <w:rFonts w:hint="eastAsia" w:ascii="宋体" w:hAnsi="宋体" w:eastAsia="宋体"/>
                <w:sz w:val="24"/>
                <w:szCs w:val="24"/>
              </w:rPr>
            </w:pPr>
            <w:r>
              <w:rPr>
                <w:rFonts w:hint="eastAsia" w:ascii="宋体" w:hAnsi="宋体" w:eastAsia="宋体"/>
                <w:sz w:val="24"/>
                <w:szCs w:val="24"/>
              </w:rPr>
              <w:t>1186</w:t>
            </w:r>
          </w:p>
        </w:tc>
        <w:tc>
          <w:tcPr>
            <w:tcW w:w="709"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1183</w:t>
            </w:r>
          </w:p>
        </w:tc>
        <w:tc>
          <w:tcPr>
            <w:tcW w:w="901" w:type="dxa"/>
            <w:vAlign w:val="center"/>
          </w:tcPr>
          <w:p>
            <w:pPr>
              <w:adjustRightInd w:val="0"/>
              <w:snapToGrid w:val="0"/>
              <w:spacing w:line="220" w:lineRule="atLeast"/>
              <w:rPr>
                <w:rFonts w:hint="eastAsia" w:ascii="宋体" w:hAnsi="宋体" w:eastAsia="宋体"/>
                <w:sz w:val="24"/>
                <w:szCs w:val="24"/>
              </w:rPr>
            </w:pPr>
            <w:r>
              <w:rPr>
                <w:rFonts w:hint="eastAsia" w:ascii="宋体" w:hAnsi="宋体" w:eastAsia="宋体"/>
                <w:sz w:val="24"/>
                <w:szCs w:val="24"/>
              </w:rPr>
              <w:t>1048</w:t>
            </w:r>
          </w:p>
        </w:tc>
        <w:tc>
          <w:tcPr>
            <w:tcW w:w="819" w:type="dxa"/>
            <w:vAlign w:val="center"/>
          </w:tcPr>
          <w:p>
            <w:pPr>
              <w:adjustRightInd w:val="0"/>
              <w:snapToGrid w:val="0"/>
              <w:spacing w:line="220" w:lineRule="atLeast"/>
              <w:rPr>
                <w:rFonts w:hint="eastAsia" w:ascii="宋体" w:hAnsi="宋体" w:eastAsia="宋体"/>
                <w:sz w:val="24"/>
                <w:szCs w:val="24"/>
              </w:rPr>
            </w:pPr>
            <w:r>
              <w:rPr>
                <w:rFonts w:hint="eastAsia" w:ascii="宋体" w:hAnsi="宋体" w:eastAsia="宋体"/>
                <w:sz w:val="24"/>
                <w:szCs w:val="24"/>
              </w:rPr>
              <w:t>1183</w:t>
            </w:r>
          </w:p>
        </w:tc>
        <w:tc>
          <w:tcPr>
            <w:tcW w:w="804"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1084</w:t>
            </w:r>
          </w:p>
        </w:tc>
        <w:tc>
          <w:tcPr>
            <w:tcW w:w="72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1183</w:t>
            </w:r>
          </w:p>
        </w:tc>
        <w:tc>
          <w:tcPr>
            <w:tcW w:w="901" w:type="dxa"/>
            <w:vAlign w:val="center"/>
          </w:tcPr>
          <w:p>
            <w:pPr>
              <w:adjustRightInd w:val="0"/>
              <w:snapToGrid w:val="0"/>
              <w:spacing w:line="220" w:lineRule="atLeast"/>
              <w:rPr>
                <w:rFonts w:hint="eastAsia" w:ascii="宋体" w:hAnsi="宋体" w:eastAsia="宋体"/>
                <w:sz w:val="24"/>
                <w:szCs w:val="24"/>
              </w:rPr>
            </w:pPr>
            <w:r>
              <w:rPr>
                <w:rFonts w:hint="eastAsia" w:ascii="宋体" w:hAnsi="宋体" w:eastAsia="宋体"/>
                <w:sz w:val="24"/>
                <w:szCs w:val="24"/>
              </w:rPr>
              <w:t>1178</w:t>
            </w:r>
          </w:p>
        </w:tc>
        <w:tc>
          <w:tcPr>
            <w:tcW w:w="1075" w:type="dxa"/>
            <w:vAlign w:val="center"/>
          </w:tcPr>
          <w:p>
            <w:pPr>
              <w:adjustRightInd w:val="0"/>
              <w:snapToGrid w:val="0"/>
              <w:spacing w:line="220" w:lineRule="atLeast"/>
              <w:rPr>
                <w:rFonts w:hint="eastAsia" w:ascii="宋体" w:hAnsi="宋体" w:eastAsia="宋体"/>
                <w:sz w:val="24"/>
                <w:szCs w:val="24"/>
              </w:rPr>
            </w:pPr>
            <w:r>
              <w:rPr>
                <w:rFonts w:hint="eastAsia" w:ascii="宋体" w:hAnsi="宋体" w:eastAsia="宋体"/>
                <w:sz w:val="24"/>
                <w:szCs w:val="24"/>
              </w:rPr>
              <w:t>538</w:t>
            </w:r>
          </w:p>
        </w:tc>
        <w:tc>
          <w:tcPr>
            <w:tcW w:w="900" w:type="dxa"/>
            <w:vAlign w:val="center"/>
          </w:tcPr>
          <w:p>
            <w:pPr>
              <w:adjustRightInd w:val="0"/>
              <w:snapToGrid w:val="0"/>
              <w:spacing w:line="220" w:lineRule="atLeast"/>
              <w:rPr>
                <w:rFonts w:hint="eastAsia" w:ascii="宋体" w:hAnsi="宋体" w:eastAsia="宋体"/>
                <w:sz w:val="24"/>
                <w:szCs w:val="24"/>
              </w:rPr>
            </w:pPr>
            <w:r>
              <w:rPr>
                <w:rFonts w:hint="eastAsia" w:ascii="宋体" w:hAnsi="宋体" w:eastAsia="宋体"/>
                <w:sz w:val="24"/>
                <w:szCs w:val="24"/>
              </w:rPr>
              <w:t>538</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2.2在校体验。</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学校通过召开学生座谈会，开展学生评教、发放调查问卷等形式，对在校学生和毕业学生满意度进行调查，结果显示：理论学习满意度</w:t>
      </w:r>
      <w:r>
        <w:rPr>
          <w:rFonts w:hint="eastAsia" w:ascii="宋体" w:hAnsi="宋体" w:eastAsia="宋体" w:cs="宋体"/>
          <w:kern w:val="0"/>
          <w:sz w:val="24"/>
          <w:szCs w:val="24"/>
        </w:rPr>
        <w:t>93</w:t>
      </w:r>
      <w:r>
        <w:rPr>
          <w:rFonts w:ascii="宋体" w:hAnsi="宋体" w:eastAsia="宋体" w:cs="宋体"/>
          <w:kern w:val="0"/>
          <w:sz w:val="24"/>
          <w:szCs w:val="24"/>
        </w:rPr>
        <w:t>%，专业学习满意度</w:t>
      </w:r>
      <w:r>
        <w:rPr>
          <w:rFonts w:hint="eastAsia" w:ascii="宋体" w:hAnsi="宋体" w:eastAsia="宋体" w:cs="宋体"/>
          <w:kern w:val="0"/>
          <w:sz w:val="24"/>
          <w:szCs w:val="24"/>
        </w:rPr>
        <w:t>95</w:t>
      </w:r>
      <w:r>
        <w:rPr>
          <w:rFonts w:ascii="宋体" w:hAnsi="宋体" w:eastAsia="宋体" w:cs="宋体"/>
          <w:kern w:val="0"/>
          <w:sz w:val="24"/>
          <w:szCs w:val="24"/>
        </w:rPr>
        <w:t>%，实习实训满意度</w:t>
      </w:r>
      <w:r>
        <w:rPr>
          <w:rFonts w:hint="eastAsia" w:ascii="宋体" w:hAnsi="宋体" w:eastAsia="宋体" w:cs="宋体"/>
          <w:kern w:val="0"/>
          <w:sz w:val="24"/>
          <w:szCs w:val="24"/>
        </w:rPr>
        <w:t>91</w:t>
      </w:r>
      <w:r>
        <w:rPr>
          <w:rFonts w:ascii="宋体" w:hAnsi="宋体" w:eastAsia="宋体" w:cs="宋体"/>
          <w:kern w:val="0"/>
          <w:sz w:val="24"/>
          <w:szCs w:val="24"/>
        </w:rPr>
        <w:t>%，校园文化与社团满意度9</w:t>
      </w:r>
      <w:r>
        <w:rPr>
          <w:rFonts w:hint="eastAsia" w:ascii="宋体" w:hAnsi="宋体" w:eastAsia="宋体" w:cs="宋体"/>
          <w:kern w:val="0"/>
          <w:sz w:val="24"/>
          <w:szCs w:val="24"/>
        </w:rPr>
        <w:t>3</w:t>
      </w:r>
      <w:r>
        <w:rPr>
          <w:rFonts w:ascii="宋体" w:hAnsi="宋体" w:eastAsia="宋体" w:cs="宋体"/>
          <w:kern w:val="0"/>
          <w:sz w:val="24"/>
          <w:szCs w:val="24"/>
        </w:rPr>
        <w:t>%，生活满意度</w:t>
      </w:r>
      <w:r>
        <w:rPr>
          <w:rFonts w:hint="eastAsia" w:ascii="宋体" w:hAnsi="宋体" w:eastAsia="宋体" w:cs="宋体"/>
          <w:kern w:val="0"/>
          <w:sz w:val="24"/>
          <w:szCs w:val="24"/>
        </w:rPr>
        <w:t>83</w:t>
      </w:r>
      <w:r>
        <w:rPr>
          <w:rFonts w:ascii="宋体" w:hAnsi="宋体" w:eastAsia="宋体" w:cs="宋体"/>
          <w:kern w:val="0"/>
          <w:sz w:val="24"/>
          <w:szCs w:val="24"/>
        </w:rPr>
        <w:t>%，校园安全满意度9</w:t>
      </w:r>
      <w:r>
        <w:rPr>
          <w:rFonts w:hint="eastAsia" w:ascii="宋体" w:hAnsi="宋体" w:eastAsia="宋体" w:cs="宋体"/>
          <w:kern w:val="0"/>
          <w:sz w:val="24"/>
          <w:szCs w:val="24"/>
        </w:rPr>
        <w:t>7</w:t>
      </w:r>
      <w:r>
        <w:rPr>
          <w:rFonts w:ascii="宋体" w:hAnsi="宋体" w:eastAsia="宋体" w:cs="宋体"/>
          <w:kern w:val="0"/>
          <w:sz w:val="24"/>
          <w:szCs w:val="24"/>
        </w:rPr>
        <w:t>%，毕业生对学习满意度</w:t>
      </w:r>
      <w:r>
        <w:rPr>
          <w:rFonts w:hint="eastAsia" w:ascii="宋体" w:hAnsi="宋体" w:eastAsia="宋体" w:cs="宋体"/>
          <w:kern w:val="0"/>
          <w:sz w:val="24"/>
          <w:szCs w:val="24"/>
        </w:rPr>
        <w:t>91</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表2-2 近两学年中等职业学校学生在校体验情况一览表</w:t>
      </w:r>
    </w:p>
    <w:tbl>
      <w:tblPr>
        <w:tblStyle w:val="7"/>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963"/>
        <w:gridCol w:w="1071"/>
        <w:gridCol w:w="9"/>
        <w:gridCol w:w="1080"/>
        <w:gridCol w:w="9"/>
        <w:gridCol w:w="1008"/>
        <w:gridCol w:w="1152"/>
        <w:gridCol w:w="900"/>
        <w:gridCol w:w="108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841"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学年度</w:t>
            </w:r>
          </w:p>
        </w:tc>
        <w:tc>
          <w:tcPr>
            <w:tcW w:w="107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理论学习满意度</w:t>
            </w:r>
          </w:p>
        </w:tc>
        <w:tc>
          <w:tcPr>
            <w:tcW w:w="1089"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专业学习满意度</w:t>
            </w:r>
          </w:p>
        </w:tc>
        <w:tc>
          <w:tcPr>
            <w:tcW w:w="1017"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实习实训满意度</w:t>
            </w:r>
          </w:p>
        </w:tc>
        <w:tc>
          <w:tcPr>
            <w:tcW w:w="1152"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校园文化与社团满意度</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生活满意度</w:t>
            </w:r>
          </w:p>
        </w:tc>
        <w:tc>
          <w:tcPr>
            <w:tcW w:w="1080" w:type="dxa"/>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校园安全满意度</w:t>
            </w:r>
          </w:p>
        </w:tc>
        <w:tc>
          <w:tcPr>
            <w:tcW w:w="112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毕业生对学习满意度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8" w:type="dxa"/>
            <w:vMerge w:val="restart"/>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6</w:t>
            </w:r>
            <w:r>
              <w:rPr>
                <w:rFonts w:ascii="宋体" w:hAnsi="宋体" w:eastAsia="宋体"/>
                <w:sz w:val="24"/>
                <w:szCs w:val="24"/>
              </w:rPr>
              <w:t>～201</w:t>
            </w:r>
            <w:r>
              <w:rPr>
                <w:rFonts w:hint="eastAsia" w:ascii="宋体" w:hAnsi="宋体" w:eastAsia="宋体"/>
                <w:sz w:val="24"/>
                <w:szCs w:val="24"/>
              </w:rPr>
              <w:t>7</w:t>
            </w:r>
          </w:p>
        </w:tc>
        <w:tc>
          <w:tcPr>
            <w:tcW w:w="963"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人数</w:t>
            </w:r>
          </w:p>
        </w:tc>
        <w:tc>
          <w:tcPr>
            <w:tcW w:w="1080" w:type="dxa"/>
            <w:gridSpan w:val="2"/>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1196</w:t>
            </w:r>
          </w:p>
        </w:tc>
        <w:tc>
          <w:tcPr>
            <w:tcW w:w="1089" w:type="dxa"/>
            <w:gridSpan w:val="2"/>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1213</w:t>
            </w:r>
          </w:p>
        </w:tc>
        <w:tc>
          <w:tcPr>
            <w:tcW w:w="1008"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1021</w:t>
            </w:r>
          </w:p>
        </w:tc>
        <w:tc>
          <w:tcPr>
            <w:tcW w:w="1152"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1087</w:t>
            </w:r>
          </w:p>
        </w:tc>
        <w:tc>
          <w:tcPr>
            <w:tcW w:w="90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968</w:t>
            </w:r>
          </w:p>
        </w:tc>
        <w:tc>
          <w:tcPr>
            <w:tcW w:w="108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1221</w:t>
            </w:r>
          </w:p>
        </w:tc>
        <w:tc>
          <w:tcPr>
            <w:tcW w:w="1121"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jc w:val="center"/>
        </w:trPr>
        <w:tc>
          <w:tcPr>
            <w:tcW w:w="878" w:type="dxa"/>
            <w:vMerge w:val="continue"/>
            <w:tcBorders>
              <w:bottom w:val="single" w:color="auto" w:sz="4" w:space="0"/>
            </w:tcBorders>
            <w:vAlign w:val="center"/>
          </w:tcPr>
          <w:p>
            <w:pPr>
              <w:spacing w:line="240" w:lineRule="atLeast"/>
              <w:jc w:val="center"/>
              <w:rPr>
                <w:rFonts w:ascii="宋体" w:hAnsi="宋体" w:eastAsia="宋体"/>
                <w:sz w:val="24"/>
                <w:szCs w:val="24"/>
              </w:rPr>
            </w:pPr>
          </w:p>
        </w:tc>
        <w:tc>
          <w:tcPr>
            <w:tcW w:w="963"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比例（%）</w:t>
            </w:r>
          </w:p>
        </w:tc>
        <w:tc>
          <w:tcPr>
            <w:tcW w:w="1080" w:type="dxa"/>
            <w:gridSpan w:val="2"/>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96</w:t>
            </w:r>
          </w:p>
        </w:tc>
        <w:tc>
          <w:tcPr>
            <w:tcW w:w="1089" w:type="dxa"/>
            <w:gridSpan w:val="2"/>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98</w:t>
            </w:r>
          </w:p>
        </w:tc>
        <w:tc>
          <w:tcPr>
            <w:tcW w:w="1008"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82</w:t>
            </w:r>
          </w:p>
        </w:tc>
        <w:tc>
          <w:tcPr>
            <w:tcW w:w="1152"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87</w:t>
            </w:r>
          </w:p>
        </w:tc>
        <w:tc>
          <w:tcPr>
            <w:tcW w:w="90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78</w:t>
            </w:r>
          </w:p>
        </w:tc>
        <w:tc>
          <w:tcPr>
            <w:tcW w:w="108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98</w:t>
            </w:r>
          </w:p>
        </w:tc>
        <w:tc>
          <w:tcPr>
            <w:tcW w:w="1121"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8" w:type="dxa"/>
            <w:vMerge w:val="restart"/>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963"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人数</w:t>
            </w:r>
          </w:p>
        </w:tc>
        <w:tc>
          <w:tcPr>
            <w:tcW w:w="1080" w:type="dxa"/>
            <w:gridSpan w:val="2"/>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1105</w:t>
            </w:r>
          </w:p>
        </w:tc>
        <w:tc>
          <w:tcPr>
            <w:tcW w:w="1089" w:type="dxa"/>
            <w:gridSpan w:val="2"/>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1126</w:t>
            </w:r>
          </w:p>
        </w:tc>
        <w:tc>
          <w:tcPr>
            <w:tcW w:w="1008"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1081</w:t>
            </w:r>
          </w:p>
        </w:tc>
        <w:tc>
          <w:tcPr>
            <w:tcW w:w="1152"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1095</w:t>
            </w:r>
          </w:p>
        </w:tc>
        <w:tc>
          <w:tcPr>
            <w:tcW w:w="90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986</w:t>
            </w:r>
          </w:p>
        </w:tc>
        <w:tc>
          <w:tcPr>
            <w:tcW w:w="108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1148</w:t>
            </w:r>
          </w:p>
        </w:tc>
        <w:tc>
          <w:tcPr>
            <w:tcW w:w="1121"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jc w:val="center"/>
        </w:trPr>
        <w:tc>
          <w:tcPr>
            <w:tcW w:w="878" w:type="dxa"/>
            <w:vMerge w:val="continue"/>
            <w:vAlign w:val="center"/>
          </w:tcPr>
          <w:p>
            <w:pPr>
              <w:spacing w:line="240" w:lineRule="atLeast"/>
              <w:jc w:val="center"/>
              <w:rPr>
                <w:rFonts w:ascii="宋体" w:hAnsi="宋体" w:eastAsia="宋体"/>
                <w:sz w:val="24"/>
                <w:szCs w:val="24"/>
              </w:rPr>
            </w:pPr>
          </w:p>
        </w:tc>
        <w:tc>
          <w:tcPr>
            <w:tcW w:w="963"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bCs/>
                <w:sz w:val="24"/>
                <w:szCs w:val="24"/>
              </w:rPr>
              <w:t>比例（%）</w:t>
            </w:r>
          </w:p>
        </w:tc>
        <w:tc>
          <w:tcPr>
            <w:tcW w:w="1080" w:type="dxa"/>
            <w:gridSpan w:val="2"/>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93</w:t>
            </w:r>
          </w:p>
        </w:tc>
        <w:tc>
          <w:tcPr>
            <w:tcW w:w="1089" w:type="dxa"/>
            <w:gridSpan w:val="2"/>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95</w:t>
            </w:r>
          </w:p>
        </w:tc>
        <w:tc>
          <w:tcPr>
            <w:tcW w:w="1008"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91</w:t>
            </w:r>
          </w:p>
        </w:tc>
        <w:tc>
          <w:tcPr>
            <w:tcW w:w="1152"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93</w:t>
            </w:r>
          </w:p>
        </w:tc>
        <w:tc>
          <w:tcPr>
            <w:tcW w:w="90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83</w:t>
            </w:r>
          </w:p>
        </w:tc>
        <w:tc>
          <w:tcPr>
            <w:tcW w:w="108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97</w:t>
            </w:r>
          </w:p>
        </w:tc>
        <w:tc>
          <w:tcPr>
            <w:tcW w:w="1121"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91</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2.3资助情况。</w:t>
      </w:r>
      <w:r>
        <w:rPr>
          <w:rFonts w:ascii="宋体" w:hAnsi="宋体" w:eastAsia="宋体" w:cs="宋体"/>
          <w:kern w:val="0"/>
          <w:sz w:val="24"/>
          <w:szCs w:val="24"/>
        </w:rPr>
        <w:br w:type="textWrapping"/>
      </w:r>
      <w:r>
        <w:rPr>
          <w:rFonts w:ascii="宋体" w:hAnsi="宋体" w:eastAsia="宋体" w:cs="宋体"/>
          <w:kern w:val="0"/>
          <w:sz w:val="24"/>
          <w:szCs w:val="24"/>
        </w:rPr>
        <w:t xml:space="preserve">   2018年，我校共有</w:t>
      </w:r>
      <w:r>
        <w:rPr>
          <w:rFonts w:hint="eastAsia" w:ascii="宋体" w:hAnsi="宋体" w:eastAsia="宋体" w:cs="宋体"/>
          <w:kern w:val="0"/>
          <w:sz w:val="24"/>
          <w:szCs w:val="24"/>
        </w:rPr>
        <w:t>217</w:t>
      </w:r>
      <w:r>
        <w:rPr>
          <w:rFonts w:ascii="宋体" w:hAnsi="宋体" w:eastAsia="宋体" w:cs="宋体"/>
          <w:kern w:val="0"/>
          <w:sz w:val="24"/>
          <w:szCs w:val="24"/>
        </w:rPr>
        <w:t>人次享受国家助学金，发放助学金金额为</w:t>
      </w:r>
      <w:r>
        <w:rPr>
          <w:rFonts w:hint="eastAsia" w:ascii="宋体" w:hAnsi="宋体" w:eastAsia="宋体" w:cs="宋体"/>
          <w:kern w:val="0"/>
          <w:sz w:val="24"/>
          <w:szCs w:val="24"/>
        </w:rPr>
        <w:t>217</w:t>
      </w:r>
      <w:r>
        <w:rPr>
          <w:rFonts w:ascii="宋体" w:hAnsi="宋体" w:eastAsia="宋体" w:cs="宋体"/>
          <w:kern w:val="0"/>
          <w:sz w:val="24"/>
          <w:szCs w:val="24"/>
        </w:rPr>
        <w:t>000元。共有</w:t>
      </w:r>
      <w:r>
        <w:rPr>
          <w:rFonts w:hint="eastAsia" w:ascii="宋体" w:hAnsi="宋体" w:eastAsia="宋体" w:cs="宋体"/>
          <w:kern w:val="0"/>
          <w:sz w:val="24"/>
          <w:szCs w:val="24"/>
        </w:rPr>
        <w:t>833</w:t>
      </w:r>
      <w:r>
        <w:rPr>
          <w:rFonts w:ascii="宋体" w:hAnsi="宋体" w:eastAsia="宋体" w:cs="宋体"/>
          <w:kern w:val="0"/>
          <w:sz w:val="24"/>
          <w:szCs w:val="24"/>
        </w:rPr>
        <w:t>人享受免学费政策元。校内资助情况：2018年秋季，我校共有</w:t>
      </w:r>
      <w:r>
        <w:rPr>
          <w:rFonts w:hint="eastAsia" w:ascii="宋体" w:hAnsi="宋体" w:eastAsia="宋体" w:cs="宋体"/>
          <w:kern w:val="0"/>
          <w:sz w:val="24"/>
          <w:szCs w:val="24"/>
        </w:rPr>
        <w:t>94</w:t>
      </w:r>
      <w:r>
        <w:rPr>
          <w:rFonts w:ascii="宋体" w:hAnsi="宋体" w:eastAsia="宋体" w:cs="宋体"/>
          <w:kern w:val="0"/>
          <w:sz w:val="24"/>
          <w:szCs w:val="24"/>
        </w:rPr>
        <w:t>名建档立卡贫困家庭学生享受校内资助，工发放助学金</w:t>
      </w:r>
      <w:r>
        <w:rPr>
          <w:rFonts w:hint="eastAsia" w:ascii="宋体" w:hAnsi="宋体" w:eastAsia="宋体"/>
          <w:sz w:val="24"/>
          <w:szCs w:val="24"/>
        </w:rPr>
        <w:t>9.4万</w:t>
      </w:r>
      <w:r>
        <w:rPr>
          <w:rFonts w:ascii="宋体" w:hAnsi="宋体" w:eastAsia="宋体" w:cs="宋体"/>
          <w:kern w:val="0"/>
          <w:sz w:val="24"/>
          <w:szCs w:val="24"/>
        </w:rPr>
        <w:t>元。</w:t>
      </w:r>
    </w:p>
    <w:p>
      <w:pPr>
        <w:widowControl/>
        <w:jc w:val="left"/>
        <w:rPr>
          <w:rFonts w:ascii="宋体" w:hAnsi="宋体" w:eastAsia="宋体" w:cs="宋体"/>
          <w:kern w:val="0"/>
          <w:sz w:val="24"/>
          <w:szCs w:val="24"/>
        </w:rPr>
      </w:pPr>
      <w:r>
        <w:rPr>
          <w:rFonts w:ascii="宋体" w:hAnsi="宋体" w:eastAsia="宋体" w:cs="宋体"/>
          <w:kern w:val="0"/>
          <w:sz w:val="24"/>
          <w:szCs w:val="24"/>
        </w:rPr>
        <w:t>表2-3 近两学年中等职业学校学生在校资助情况一览表</w:t>
      </w:r>
    </w:p>
    <w:tbl>
      <w:tblPr>
        <w:tblStyle w:val="7"/>
        <w:tblW w:w="8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987"/>
        <w:gridCol w:w="966"/>
        <w:gridCol w:w="1084"/>
        <w:gridCol w:w="1080"/>
        <w:gridCol w:w="941"/>
        <w:gridCol w:w="148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53"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1953"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免学费</w:t>
            </w:r>
          </w:p>
        </w:tc>
        <w:tc>
          <w:tcPr>
            <w:tcW w:w="2164"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助学金</w:t>
            </w:r>
          </w:p>
        </w:tc>
        <w:tc>
          <w:tcPr>
            <w:tcW w:w="3281" w:type="dxa"/>
            <w:gridSpan w:val="3"/>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校内资助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353"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987"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66"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tc>
        <w:tc>
          <w:tcPr>
            <w:tcW w:w="108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108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c>
          <w:tcPr>
            <w:tcW w:w="94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1486"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资金（万元）</w:t>
            </w:r>
          </w:p>
        </w:tc>
        <w:tc>
          <w:tcPr>
            <w:tcW w:w="85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1353" w:type="dxa"/>
            <w:tcBorders>
              <w:bottom w:val="single" w:color="auto" w:sz="4" w:space="0"/>
            </w:tcBorders>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6</w:t>
            </w:r>
            <w:r>
              <w:rPr>
                <w:rFonts w:ascii="宋体" w:hAnsi="宋体" w:eastAsia="宋体"/>
                <w:sz w:val="24"/>
                <w:szCs w:val="24"/>
              </w:rPr>
              <w:t>～201</w:t>
            </w:r>
            <w:r>
              <w:rPr>
                <w:rFonts w:hint="eastAsia" w:ascii="宋体" w:hAnsi="宋体" w:eastAsia="宋体"/>
                <w:sz w:val="24"/>
                <w:szCs w:val="24"/>
              </w:rPr>
              <w:t>7</w:t>
            </w:r>
          </w:p>
        </w:tc>
        <w:tc>
          <w:tcPr>
            <w:tcW w:w="987"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705</w:t>
            </w:r>
          </w:p>
        </w:tc>
        <w:tc>
          <w:tcPr>
            <w:tcW w:w="966"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57</w:t>
            </w:r>
          </w:p>
        </w:tc>
        <w:tc>
          <w:tcPr>
            <w:tcW w:w="1084" w:type="dxa"/>
            <w:tcBorders>
              <w:bottom w:val="single" w:color="auto" w:sz="4" w:space="0"/>
            </w:tcBorders>
            <w:vAlign w:val="center"/>
          </w:tcPr>
          <w:p>
            <w:pPr>
              <w:adjustRightInd w:val="0"/>
              <w:snapToGrid w:val="0"/>
              <w:spacing w:line="220" w:lineRule="atLeast"/>
              <w:rPr>
                <w:rFonts w:ascii="宋体" w:hAnsi="宋体" w:eastAsia="宋体"/>
                <w:sz w:val="24"/>
                <w:szCs w:val="24"/>
              </w:rPr>
            </w:pPr>
            <w:r>
              <w:rPr>
                <w:rFonts w:hint="eastAsia" w:ascii="宋体" w:hAnsi="宋体" w:eastAsia="宋体"/>
                <w:sz w:val="24"/>
                <w:szCs w:val="24"/>
              </w:rPr>
              <w:t>304</w:t>
            </w:r>
          </w:p>
        </w:tc>
        <w:tc>
          <w:tcPr>
            <w:tcW w:w="1080"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24</w:t>
            </w:r>
          </w:p>
        </w:tc>
        <w:tc>
          <w:tcPr>
            <w:tcW w:w="941"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103</w:t>
            </w:r>
          </w:p>
        </w:tc>
        <w:tc>
          <w:tcPr>
            <w:tcW w:w="1486"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8.2</w:t>
            </w:r>
          </w:p>
        </w:tc>
        <w:tc>
          <w:tcPr>
            <w:tcW w:w="854"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jc w:val="center"/>
        </w:trPr>
        <w:tc>
          <w:tcPr>
            <w:tcW w:w="1353" w:type="dxa"/>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987"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833</w:t>
            </w:r>
          </w:p>
        </w:tc>
        <w:tc>
          <w:tcPr>
            <w:tcW w:w="966"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70</w:t>
            </w:r>
          </w:p>
        </w:tc>
        <w:tc>
          <w:tcPr>
            <w:tcW w:w="1084"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217</w:t>
            </w:r>
          </w:p>
        </w:tc>
        <w:tc>
          <w:tcPr>
            <w:tcW w:w="108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18</w:t>
            </w:r>
          </w:p>
        </w:tc>
        <w:tc>
          <w:tcPr>
            <w:tcW w:w="941"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94</w:t>
            </w:r>
          </w:p>
        </w:tc>
        <w:tc>
          <w:tcPr>
            <w:tcW w:w="1486"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9.4</w:t>
            </w:r>
          </w:p>
        </w:tc>
        <w:tc>
          <w:tcPr>
            <w:tcW w:w="854"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8</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2.4就业质量。</w:t>
      </w:r>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2018年，学校毕业生为</w:t>
      </w:r>
      <w:r>
        <w:rPr>
          <w:rFonts w:hint="eastAsia" w:ascii="宋体" w:hAnsi="宋体" w:eastAsia="宋体" w:cs="宋体"/>
          <w:kern w:val="0"/>
          <w:sz w:val="24"/>
          <w:szCs w:val="24"/>
        </w:rPr>
        <w:t>538</w:t>
      </w:r>
      <w:r>
        <w:rPr>
          <w:rFonts w:ascii="宋体" w:hAnsi="宋体" w:eastAsia="宋体" w:cs="宋体"/>
          <w:kern w:val="0"/>
          <w:sz w:val="24"/>
          <w:szCs w:val="24"/>
        </w:rPr>
        <w:t>人，毕业生就业率达100%。其中</w:t>
      </w:r>
      <w:r>
        <w:rPr>
          <w:rFonts w:hint="eastAsia" w:ascii="宋体" w:hAnsi="宋体" w:eastAsia="宋体"/>
          <w:sz w:val="24"/>
          <w:szCs w:val="24"/>
        </w:rPr>
        <w:t>中药</w:t>
      </w:r>
      <w:r>
        <w:rPr>
          <w:rFonts w:ascii="宋体" w:hAnsi="宋体" w:eastAsia="宋体" w:cs="宋体"/>
          <w:kern w:val="0"/>
          <w:sz w:val="24"/>
          <w:szCs w:val="24"/>
        </w:rPr>
        <w:t>专业毕业生</w:t>
      </w:r>
      <w:r>
        <w:rPr>
          <w:rFonts w:hint="eastAsia" w:ascii="宋体" w:hAnsi="宋体" w:eastAsia="宋体" w:cs="宋体"/>
          <w:kern w:val="0"/>
          <w:sz w:val="24"/>
          <w:szCs w:val="24"/>
        </w:rPr>
        <w:t>119</w:t>
      </w:r>
      <w:r>
        <w:rPr>
          <w:rFonts w:ascii="宋体" w:hAnsi="宋体" w:eastAsia="宋体" w:cs="宋体"/>
          <w:kern w:val="0"/>
          <w:sz w:val="24"/>
          <w:szCs w:val="24"/>
        </w:rPr>
        <w:t>人，对口及就业率为9</w:t>
      </w:r>
      <w:r>
        <w:rPr>
          <w:rFonts w:hint="eastAsia" w:ascii="宋体" w:hAnsi="宋体" w:eastAsia="宋体" w:cs="宋体"/>
          <w:kern w:val="0"/>
          <w:sz w:val="24"/>
          <w:szCs w:val="24"/>
        </w:rPr>
        <w:t>1</w:t>
      </w:r>
      <w:r>
        <w:rPr>
          <w:rFonts w:ascii="宋体" w:hAnsi="宋体" w:eastAsia="宋体" w:cs="宋体"/>
          <w:kern w:val="0"/>
          <w:sz w:val="24"/>
          <w:szCs w:val="24"/>
        </w:rPr>
        <w:t>%，初次起薪</w:t>
      </w:r>
      <w:r>
        <w:rPr>
          <w:rFonts w:hint="eastAsia" w:ascii="宋体" w:hAnsi="宋体" w:eastAsia="宋体" w:cs="宋体"/>
          <w:kern w:val="0"/>
          <w:sz w:val="24"/>
          <w:szCs w:val="24"/>
        </w:rPr>
        <w:t>2100</w:t>
      </w:r>
      <w:r>
        <w:rPr>
          <w:rFonts w:ascii="宋体" w:hAnsi="宋体" w:eastAsia="宋体" w:cs="宋体"/>
          <w:kern w:val="0"/>
          <w:sz w:val="24"/>
          <w:szCs w:val="24"/>
        </w:rPr>
        <w:t>元。</w:t>
      </w:r>
      <w:r>
        <w:rPr>
          <w:rFonts w:hint="eastAsia" w:ascii="宋体" w:hAnsi="宋体" w:eastAsia="宋体"/>
          <w:sz w:val="24"/>
          <w:szCs w:val="24"/>
        </w:rPr>
        <w:t>药剂</w:t>
      </w:r>
      <w:r>
        <w:rPr>
          <w:rFonts w:ascii="宋体" w:hAnsi="宋体" w:eastAsia="宋体" w:cs="宋体"/>
          <w:kern w:val="0"/>
          <w:sz w:val="24"/>
          <w:szCs w:val="24"/>
        </w:rPr>
        <w:t>专业毕业生</w:t>
      </w:r>
      <w:r>
        <w:rPr>
          <w:rFonts w:hint="eastAsia" w:ascii="宋体" w:hAnsi="宋体" w:eastAsia="宋体" w:cs="宋体"/>
          <w:kern w:val="0"/>
          <w:sz w:val="24"/>
          <w:szCs w:val="24"/>
        </w:rPr>
        <w:t>419</w:t>
      </w:r>
      <w:r>
        <w:rPr>
          <w:rFonts w:ascii="宋体" w:hAnsi="宋体" w:eastAsia="宋体" w:cs="宋体"/>
          <w:kern w:val="0"/>
          <w:sz w:val="24"/>
          <w:szCs w:val="24"/>
        </w:rPr>
        <w:t>人，对口及就业率为</w:t>
      </w:r>
      <w:r>
        <w:rPr>
          <w:rFonts w:hint="eastAsia" w:ascii="宋体" w:hAnsi="宋体" w:eastAsia="宋体" w:cs="宋体"/>
          <w:kern w:val="0"/>
          <w:sz w:val="24"/>
          <w:szCs w:val="24"/>
        </w:rPr>
        <w:t>92</w:t>
      </w:r>
      <w:r>
        <w:rPr>
          <w:rFonts w:ascii="宋体" w:hAnsi="宋体" w:eastAsia="宋体" w:cs="宋体"/>
          <w:kern w:val="0"/>
          <w:sz w:val="24"/>
          <w:szCs w:val="24"/>
        </w:rPr>
        <w:t>%，初次起薪</w:t>
      </w:r>
      <w:r>
        <w:rPr>
          <w:rFonts w:hint="eastAsia" w:ascii="宋体" w:hAnsi="宋体" w:eastAsia="宋体" w:cs="宋体"/>
          <w:kern w:val="0"/>
          <w:sz w:val="24"/>
          <w:szCs w:val="24"/>
        </w:rPr>
        <w:t>22</w:t>
      </w:r>
      <w:r>
        <w:rPr>
          <w:rFonts w:ascii="宋体" w:hAnsi="宋体" w:eastAsia="宋体" w:cs="宋体"/>
          <w:kern w:val="0"/>
          <w:sz w:val="24"/>
          <w:szCs w:val="24"/>
        </w:rPr>
        <w:t>00元。</w:t>
      </w:r>
      <w:r>
        <w:rPr>
          <w:rFonts w:ascii="宋体" w:hAnsi="宋体" w:eastAsia="宋体" w:cs="宋体"/>
          <w:kern w:val="0"/>
          <w:sz w:val="24"/>
          <w:szCs w:val="24"/>
        </w:rPr>
        <w:br w:type="textWrapping"/>
      </w:r>
      <w:r>
        <w:rPr>
          <w:rFonts w:ascii="宋体" w:hAnsi="宋体" w:eastAsia="宋体" w:cs="宋体"/>
          <w:kern w:val="0"/>
          <w:sz w:val="24"/>
          <w:szCs w:val="24"/>
        </w:rPr>
        <w:t>表2-4 近两年中等职业学校毕业生就业情况一览表</w:t>
      </w:r>
    </w:p>
    <w:tbl>
      <w:tblPr>
        <w:tblStyle w:val="7"/>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696"/>
        <w:gridCol w:w="946"/>
        <w:gridCol w:w="750"/>
        <w:gridCol w:w="900"/>
        <w:gridCol w:w="761"/>
        <w:gridCol w:w="900"/>
        <w:gridCol w:w="784"/>
        <w:gridCol w:w="76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21"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学年度</w:t>
            </w:r>
          </w:p>
        </w:tc>
        <w:tc>
          <w:tcPr>
            <w:tcW w:w="1696" w:type="dxa"/>
            <w:vMerge w:val="restart"/>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开设专业</w:t>
            </w:r>
          </w:p>
        </w:tc>
        <w:tc>
          <w:tcPr>
            <w:tcW w:w="946" w:type="dxa"/>
            <w:vMerge w:val="restart"/>
            <w:vAlign w:val="center"/>
          </w:tcPr>
          <w:p>
            <w:pPr>
              <w:adjustRightInd w:val="0"/>
              <w:snapToGrid w:val="0"/>
              <w:spacing w:line="240" w:lineRule="exact"/>
              <w:rPr>
                <w:rFonts w:ascii="宋体" w:hAnsi="宋体" w:eastAsia="宋体"/>
                <w:bCs/>
                <w:sz w:val="24"/>
                <w:szCs w:val="24"/>
              </w:rPr>
            </w:pPr>
            <w:r>
              <w:rPr>
                <w:rFonts w:hint="eastAsia" w:ascii="宋体" w:hAnsi="宋体" w:eastAsia="宋体"/>
                <w:bCs/>
                <w:sz w:val="24"/>
                <w:szCs w:val="24"/>
              </w:rPr>
              <w:t>毕业生（人）</w:t>
            </w:r>
          </w:p>
        </w:tc>
        <w:tc>
          <w:tcPr>
            <w:tcW w:w="1650"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毕业生就业</w:t>
            </w:r>
          </w:p>
        </w:tc>
        <w:tc>
          <w:tcPr>
            <w:tcW w:w="1661"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毕业生对口就业</w:t>
            </w:r>
          </w:p>
        </w:tc>
        <w:tc>
          <w:tcPr>
            <w:tcW w:w="1549"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升入高等学校</w:t>
            </w:r>
          </w:p>
        </w:tc>
        <w:tc>
          <w:tcPr>
            <w:tcW w:w="799" w:type="dxa"/>
            <w:vMerge w:val="restart"/>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初次就业起薪（元/月）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trPr>
        <w:tc>
          <w:tcPr>
            <w:tcW w:w="921"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1696" w:type="dxa"/>
            <w:vMerge w:val="continue"/>
          </w:tcPr>
          <w:p>
            <w:pPr>
              <w:adjustRightInd w:val="0"/>
              <w:snapToGrid w:val="0"/>
              <w:spacing w:line="240" w:lineRule="exact"/>
              <w:jc w:val="center"/>
              <w:rPr>
                <w:rFonts w:hint="eastAsia" w:ascii="宋体" w:hAnsi="宋体" w:eastAsia="宋体"/>
                <w:bCs/>
                <w:sz w:val="24"/>
                <w:szCs w:val="24"/>
              </w:rPr>
            </w:pPr>
          </w:p>
        </w:tc>
        <w:tc>
          <w:tcPr>
            <w:tcW w:w="946"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75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就业率</w:t>
            </w:r>
          </w:p>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w:t>
            </w:r>
            <w:r>
              <w:rPr>
                <w:rFonts w:hint="eastAsia" w:ascii="宋体" w:hAnsi="宋体" w:eastAsia="宋体"/>
                <w:bCs/>
                <w:sz w:val="24"/>
                <w:szCs w:val="24"/>
              </w:rPr>
              <w:t>）</w:t>
            </w:r>
          </w:p>
        </w:tc>
        <w:tc>
          <w:tcPr>
            <w:tcW w:w="761"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00" w:type="dxa"/>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对口就业率（</w:t>
            </w:r>
            <w:r>
              <w:rPr>
                <w:rFonts w:ascii="宋体" w:hAnsi="宋体" w:eastAsia="宋体"/>
                <w:bCs/>
                <w:sz w:val="24"/>
                <w:szCs w:val="24"/>
              </w:rPr>
              <w:t>%</w:t>
            </w:r>
            <w:r>
              <w:rPr>
                <w:rFonts w:hint="eastAsia" w:ascii="宋体" w:hAnsi="宋体" w:eastAsia="宋体"/>
                <w:bCs/>
                <w:sz w:val="24"/>
                <w:szCs w:val="24"/>
              </w:rPr>
              <w:t>）</w:t>
            </w:r>
          </w:p>
        </w:tc>
        <w:tc>
          <w:tcPr>
            <w:tcW w:w="78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765"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w:t>
            </w:r>
          </w:p>
        </w:tc>
        <w:tc>
          <w:tcPr>
            <w:tcW w:w="799" w:type="dxa"/>
            <w:vMerge w:val="continue"/>
            <w:vAlign w:val="center"/>
          </w:tcPr>
          <w:p>
            <w:pPr>
              <w:adjustRightInd w:val="0"/>
              <w:snapToGrid w:val="0"/>
              <w:spacing w:line="240" w:lineRule="exact"/>
              <w:jc w:val="center"/>
              <w:rPr>
                <w:rFonts w:hint="eastAsia"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trPr>
        <w:tc>
          <w:tcPr>
            <w:tcW w:w="921" w:type="dxa"/>
            <w:vMerge w:val="restart"/>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6</w:t>
            </w:r>
            <w:r>
              <w:rPr>
                <w:rFonts w:ascii="宋体" w:hAnsi="宋体" w:eastAsia="宋体"/>
                <w:sz w:val="24"/>
                <w:szCs w:val="24"/>
              </w:rPr>
              <w:t>～201</w:t>
            </w:r>
            <w:r>
              <w:rPr>
                <w:rFonts w:hint="eastAsia" w:ascii="宋体" w:hAnsi="宋体" w:eastAsia="宋体"/>
                <w:sz w:val="24"/>
                <w:szCs w:val="24"/>
              </w:rPr>
              <w:t>7</w:t>
            </w:r>
          </w:p>
        </w:tc>
        <w:tc>
          <w:tcPr>
            <w:tcW w:w="1696"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中药（100802）</w:t>
            </w:r>
          </w:p>
        </w:tc>
        <w:tc>
          <w:tcPr>
            <w:tcW w:w="946" w:type="dxa"/>
            <w:tcBorders>
              <w:bottom w:val="single" w:color="auto" w:sz="4" w:space="0"/>
            </w:tcBorders>
            <w:vAlign w:val="center"/>
          </w:tcPr>
          <w:p>
            <w:pPr>
              <w:adjustRightInd w:val="0"/>
              <w:snapToGrid w:val="0"/>
              <w:spacing w:line="220" w:lineRule="atLeast"/>
              <w:rPr>
                <w:rFonts w:hint="eastAsia" w:ascii="宋体" w:hAnsi="宋体" w:eastAsia="宋体"/>
                <w:sz w:val="24"/>
                <w:szCs w:val="24"/>
              </w:rPr>
            </w:pPr>
            <w:r>
              <w:rPr>
                <w:rFonts w:hint="eastAsia" w:ascii="宋体" w:hAnsi="宋体" w:eastAsia="宋体"/>
                <w:sz w:val="24"/>
                <w:szCs w:val="24"/>
              </w:rPr>
              <w:t>20</w:t>
            </w:r>
          </w:p>
        </w:tc>
        <w:tc>
          <w:tcPr>
            <w:tcW w:w="750"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20</w:t>
            </w:r>
          </w:p>
        </w:tc>
        <w:tc>
          <w:tcPr>
            <w:tcW w:w="900"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100</w:t>
            </w:r>
          </w:p>
        </w:tc>
        <w:tc>
          <w:tcPr>
            <w:tcW w:w="761"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18</w:t>
            </w:r>
          </w:p>
        </w:tc>
        <w:tc>
          <w:tcPr>
            <w:tcW w:w="900" w:type="dxa"/>
            <w:tcBorders>
              <w:bottom w:val="single" w:color="auto" w:sz="4" w:space="0"/>
            </w:tcBorders>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90</w:t>
            </w:r>
          </w:p>
        </w:tc>
        <w:tc>
          <w:tcPr>
            <w:tcW w:w="784"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0</w:t>
            </w:r>
          </w:p>
        </w:tc>
        <w:tc>
          <w:tcPr>
            <w:tcW w:w="765"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0</w:t>
            </w:r>
          </w:p>
        </w:tc>
        <w:tc>
          <w:tcPr>
            <w:tcW w:w="799"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trPr>
        <w:tc>
          <w:tcPr>
            <w:tcW w:w="921" w:type="dxa"/>
            <w:vMerge w:val="continue"/>
            <w:vAlign w:val="center"/>
          </w:tcPr>
          <w:p>
            <w:pPr>
              <w:spacing w:line="240" w:lineRule="atLeast"/>
              <w:jc w:val="center"/>
              <w:rPr>
                <w:rFonts w:ascii="宋体" w:hAnsi="宋体" w:eastAsia="宋体"/>
                <w:sz w:val="24"/>
                <w:szCs w:val="24"/>
              </w:rPr>
            </w:pPr>
          </w:p>
        </w:tc>
        <w:tc>
          <w:tcPr>
            <w:tcW w:w="1696"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药剂（100803）</w:t>
            </w:r>
          </w:p>
        </w:tc>
        <w:tc>
          <w:tcPr>
            <w:tcW w:w="946"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283</w:t>
            </w:r>
          </w:p>
        </w:tc>
        <w:tc>
          <w:tcPr>
            <w:tcW w:w="750"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283</w:t>
            </w:r>
          </w:p>
        </w:tc>
        <w:tc>
          <w:tcPr>
            <w:tcW w:w="900"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100</w:t>
            </w:r>
          </w:p>
        </w:tc>
        <w:tc>
          <w:tcPr>
            <w:tcW w:w="761"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261</w:t>
            </w:r>
          </w:p>
        </w:tc>
        <w:tc>
          <w:tcPr>
            <w:tcW w:w="900" w:type="dxa"/>
            <w:tcBorders>
              <w:bottom w:val="single" w:color="auto" w:sz="4" w:space="0"/>
            </w:tcBorders>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92</w:t>
            </w:r>
          </w:p>
        </w:tc>
        <w:tc>
          <w:tcPr>
            <w:tcW w:w="784"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0</w:t>
            </w:r>
          </w:p>
        </w:tc>
        <w:tc>
          <w:tcPr>
            <w:tcW w:w="765"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0</w:t>
            </w:r>
          </w:p>
        </w:tc>
        <w:tc>
          <w:tcPr>
            <w:tcW w:w="799" w:type="dxa"/>
            <w:tcBorders>
              <w:bottom w:val="single" w:color="auto" w:sz="4" w:space="0"/>
            </w:tcBorders>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trPr>
        <w:tc>
          <w:tcPr>
            <w:tcW w:w="921" w:type="dxa"/>
            <w:vMerge w:val="restart"/>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1696"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中药（100802）</w:t>
            </w:r>
          </w:p>
        </w:tc>
        <w:tc>
          <w:tcPr>
            <w:tcW w:w="946"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119</w:t>
            </w:r>
          </w:p>
        </w:tc>
        <w:tc>
          <w:tcPr>
            <w:tcW w:w="75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119</w:t>
            </w:r>
          </w:p>
        </w:tc>
        <w:tc>
          <w:tcPr>
            <w:tcW w:w="900"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100</w:t>
            </w:r>
          </w:p>
        </w:tc>
        <w:tc>
          <w:tcPr>
            <w:tcW w:w="761"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108</w:t>
            </w:r>
          </w:p>
        </w:tc>
        <w:tc>
          <w:tcPr>
            <w:tcW w:w="900" w:type="dxa"/>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91</w:t>
            </w:r>
          </w:p>
        </w:tc>
        <w:tc>
          <w:tcPr>
            <w:tcW w:w="784"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0</w:t>
            </w:r>
          </w:p>
        </w:tc>
        <w:tc>
          <w:tcPr>
            <w:tcW w:w="765"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0</w:t>
            </w:r>
          </w:p>
        </w:tc>
        <w:tc>
          <w:tcPr>
            <w:tcW w:w="799"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rPr>
        <w:tc>
          <w:tcPr>
            <w:tcW w:w="921" w:type="dxa"/>
            <w:vMerge w:val="continue"/>
            <w:vAlign w:val="center"/>
          </w:tcPr>
          <w:p>
            <w:pPr>
              <w:spacing w:line="240" w:lineRule="atLeast"/>
              <w:jc w:val="center"/>
              <w:rPr>
                <w:rFonts w:ascii="宋体" w:hAnsi="宋体" w:eastAsia="宋体"/>
                <w:sz w:val="24"/>
                <w:szCs w:val="24"/>
              </w:rPr>
            </w:pPr>
          </w:p>
        </w:tc>
        <w:tc>
          <w:tcPr>
            <w:tcW w:w="1696"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药剂（100803）</w:t>
            </w:r>
          </w:p>
        </w:tc>
        <w:tc>
          <w:tcPr>
            <w:tcW w:w="946" w:type="dxa"/>
            <w:vAlign w:val="center"/>
          </w:tcPr>
          <w:p>
            <w:pPr>
              <w:adjustRightInd w:val="0"/>
              <w:snapToGrid w:val="0"/>
              <w:spacing w:line="220" w:lineRule="atLeast"/>
              <w:rPr>
                <w:rFonts w:hint="eastAsia" w:ascii="宋体" w:hAnsi="宋体" w:eastAsia="宋体"/>
                <w:sz w:val="24"/>
                <w:szCs w:val="24"/>
              </w:rPr>
            </w:pPr>
            <w:r>
              <w:rPr>
                <w:rFonts w:hint="eastAsia" w:ascii="宋体" w:hAnsi="宋体" w:eastAsia="宋体"/>
                <w:sz w:val="24"/>
                <w:szCs w:val="24"/>
              </w:rPr>
              <w:t>419</w:t>
            </w:r>
          </w:p>
        </w:tc>
        <w:tc>
          <w:tcPr>
            <w:tcW w:w="750" w:type="dxa"/>
            <w:vAlign w:val="center"/>
          </w:tcPr>
          <w:p>
            <w:pPr>
              <w:adjustRightInd w:val="0"/>
              <w:snapToGrid w:val="0"/>
              <w:spacing w:line="220" w:lineRule="atLeast"/>
              <w:rPr>
                <w:rFonts w:hint="eastAsia" w:ascii="宋体" w:hAnsi="宋体" w:eastAsia="宋体"/>
                <w:sz w:val="24"/>
                <w:szCs w:val="24"/>
              </w:rPr>
            </w:pPr>
            <w:r>
              <w:rPr>
                <w:rFonts w:hint="eastAsia" w:ascii="宋体" w:hAnsi="宋体" w:eastAsia="宋体"/>
                <w:sz w:val="24"/>
                <w:szCs w:val="24"/>
              </w:rPr>
              <w:t>419</w:t>
            </w:r>
          </w:p>
        </w:tc>
        <w:tc>
          <w:tcPr>
            <w:tcW w:w="900"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100</w:t>
            </w:r>
          </w:p>
        </w:tc>
        <w:tc>
          <w:tcPr>
            <w:tcW w:w="761"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387</w:t>
            </w:r>
          </w:p>
        </w:tc>
        <w:tc>
          <w:tcPr>
            <w:tcW w:w="900" w:type="dxa"/>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92</w:t>
            </w:r>
          </w:p>
        </w:tc>
        <w:tc>
          <w:tcPr>
            <w:tcW w:w="784"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0</w:t>
            </w:r>
          </w:p>
        </w:tc>
        <w:tc>
          <w:tcPr>
            <w:tcW w:w="765"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0</w:t>
            </w:r>
          </w:p>
        </w:tc>
        <w:tc>
          <w:tcPr>
            <w:tcW w:w="799"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2200</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备注：按教育部《中等职业学校专业目录（2010年）》专业大类代码从小到达大依次填报。</w:t>
      </w:r>
      <w:r>
        <w:rPr>
          <w:rFonts w:ascii="宋体" w:hAnsi="宋体" w:eastAsia="宋体" w:cs="宋体"/>
          <w:kern w:val="0"/>
          <w:sz w:val="24"/>
          <w:szCs w:val="24"/>
        </w:rPr>
        <w:br w:type="textWrapping"/>
      </w:r>
      <w:r>
        <w:rPr>
          <w:rFonts w:ascii="宋体" w:hAnsi="宋体" w:eastAsia="宋体" w:cs="宋体"/>
          <w:kern w:val="0"/>
          <w:sz w:val="24"/>
          <w:szCs w:val="24"/>
        </w:rPr>
        <w:t>2.5职业发展。</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通过对毕业生的调查走访，我校2018年毕业生学习能力有提升的比例为7</w:t>
      </w:r>
      <w:r>
        <w:rPr>
          <w:rFonts w:hint="eastAsia" w:ascii="宋体" w:hAnsi="宋体" w:eastAsia="宋体" w:cs="宋体"/>
          <w:kern w:val="0"/>
          <w:sz w:val="24"/>
          <w:szCs w:val="24"/>
        </w:rPr>
        <w:t>6</w:t>
      </w:r>
      <w:r>
        <w:rPr>
          <w:rFonts w:ascii="宋体" w:hAnsi="宋体" w:eastAsia="宋体" w:cs="宋体"/>
          <w:kern w:val="0"/>
          <w:sz w:val="24"/>
          <w:szCs w:val="24"/>
        </w:rPr>
        <w:t>%、岗位适应能力有提升的比例为</w:t>
      </w:r>
      <w:r>
        <w:rPr>
          <w:rFonts w:hint="eastAsia" w:ascii="宋体" w:hAnsi="宋体" w:eastAsia="宋体" w:cs="宋体"/>
          <w:kern w:val="0"/>
          <w:sz w:val="24"/>
          <w:szCs w:val="24"/>
        </w:rPr>
        <w:t>78</w:t>
      </w:r>
      <w:r>
        <w:rPr>
          <w:rFonts w:ascii="宋体" w:hAnsi="宋体" w:eastAsia="宋体" w:cs="宋体"/>
          <w:kern w:val="0"/>
          <w:sz w:val="24"/>
          <w:szCs w:val="24"/>
        </w:rPr>
        <w:t>%、岗位迁移能力有提升的比例为</w:t>
      </w:r>
      <w:r>
        <w:rPr>
          <w:rFonts w:hint="eastAsia" w:ascii="宋体" w:hAnsi="宋体" w:eastAsia="宋体" w:cs="宋体"/>
          <w:kern w:val="0"/>
          <w:sz w:val="24"/>
          <w:szCs w:val="24"/>
        </w:rPr>
        <w:t>60</w:t>
      </w:r>
      <w:r>
        <w:rPr>
          <w:rFonts w:ascii="宋体" w:hAnsi="宋体" w:eastAsia="宋体" w:cs="宋体"/>
          <w:kern w:val="0"/>
          <w:sz w:val="24"/>
          <w:szCs w:val="24"/>
        </w:rPr>
        <w:t>%、创新创业能力有提升的比例为</w:t>
      </w:r>
      <w:r>
        <w:rPr>
          <w:rFonts w:hint="eastAsia" w:ascii="宋体" w:hAnsi="宋体" w:eastAsia="宋体" w:cs="宋体"/>
          <w:kern w:val="0"/>
          <w:sz w:val="24"/>
          <w:szCs w:val="24"/>
        </w:rPr>
        <w:t>13</w:t>
      </w:r>
      <w:r>
        <w:rPr>
          <w:rFonts w:ascii="宋体" w:hAnsi="宋体" w:eastAsia="宋体" w:cs="宋体"/>
          <w:kern w:val="0"/>
          <w:sz w:val="24"/>
          <w:szCs w:val="24"/>
        </w:rPr>
        <w:t>%。学生能力不断提高，能较好的适应行业企业岗位需求。</w:t>
      </w:r>
      <w:r>
        <w:rPr>
          <w:rFonts w:ascii="宋体" w:hAnsi="宋体" w:eastAsia="宋体" w:cs="宋体"/>
          <w:kern w:val="0"/>
          <w:sz w:val="24"/>
          <w:szCs w:val="24"/>
        </w:rPr>
        <w:br w:type="textWrapping"/>
      </w:r>
      <w:r>
        <w:rPr>
          <w:rFonts w:ascii="宋体" w:hAnsi="宋体" w:eastAsia="宋体" w:cs="宋体"/>
          <w:kern w:val="0"/>
          <w:sz w:val="24"/>
          <w:szCs w:val="24"/>
        </w:rPr>
        <w:t>表2-5 近两学年中等职业学校学生职业发展情况一览表</w:t>
      </w:r>
    </w:p>
    <w:tbl>
      <w:tblPr>
        <w:tblStyle w:val="7"/>
        <w:tblW w:w="8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900"/>
        <w:gridCol w:w="900"/>
        <w:gridCol w:w="960"/>
        <w:gridCol w:w="927"/>
        <w:gridCol w:w="886"/>
        <w:gridCol w:w="979"/>
        <w:gridCol w:w="988"/>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51" w:type="dxa"/>
            <w:vMerge w:val="restart"/>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年度</w:t>
            </w:r>
          </w:p>
        </w:tc>
        <w:tc>
          <w:tcPr>
            <w:tcW w:w="1800"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学习能力有提升</w:t>
            </w:r>
          </w:p>
        </w:tc>
        <w:tc>
          <w:tcPr>
            <w:tcW w:w="1887"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岗位适应能力有提升</w:t>
            </w:r>
          </w:p>
        </w:tc>
        <w:tc>
          <w:tcPr>
            <w:tcW w:w="1865" w:type="dxa"/>
            <w:gridSpan w:val="2"/>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岗位迁移能力有提升</w:t>
            </w:r>
          </w:p>
        </w:tc>
        <w:tc>
          <w:tcPr>
            <w:tcW w:w="1982" w:type="dxa"/>
            <w:gridSpan w:val="2"/>
            <w:vAlign w:val="center"/>
          </w:tcPr>
          <w:p>
            <w:pPr>
              <w:adjustRightInd w:val="0"/>
              <w:snapToGrid w:val="0"/>
              <w:spacing w:line="240" w:lineRule="exact"/>
              <w:jc w:val="center"/>
              <w:rPr>
                <w:rFonts w:ascii="宋体" w:hAnsi="宋体" w:eastAsia="宋体"/>
                <w:bCs/>
                <w:sz w:val="24"/>
                <w:szCs w:val="24"/>
              </w:rPr>
            </w:pPr>
            <w:r>
              <w:rPr>
                <w:rFonts w:hint="eastAsia" w:ascii="宋体" w:hAnsi="宋体" w:eastAsia="宋体"/>
                <w:bCs/>
                <w:sz w:val="24"/>
                <w:szCs w:val="24"/>
              </w:rPr>
              <w:t>创新创业能力有提升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51" w:type="dxa"/>
            <w:vMerge w:val="continue"/>
            <w:vAlign w:val="center"/>
          </w:tcPr>
          <w:p>
            <w:pPr>
              <w:adjustRightInd w:val="0"/>
              <w:snapToGrid w:val="0"/>
              <w:spacing w:line="240" w:lineRule="exact"/>
              <w:jc w:val="center"/>
              <w:rPr>
                <w:rFonts w:hint="eastAsia" w:ascii="宋体" w:hAnsi="宋体" w:eastAsia="宋体"/>
                <w:bCs/>
                <w:sz w:val="24"/>
                <w:szCs w:val="24"/>
              </w:rPr>
            </w:pP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0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tc>
        <w:tc>
          <w:tcPr>
            <w:tcW w:w="960"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27"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c>
          <w:tcPr>
            <w:tcW w:w="886"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79"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r>
              <w:rPr>
                <w:rFonts w:ascii="宋体" w:hAnsi="宋体" w:eastAsia="宋体"/>
                <w:bCs/>
                <w:sz w:val="24"/>
                <w:szCs w:val="24"/>
              </w:rPr>
              <w:t>%</w:t>
            </w:r>
            <w:r>
              <w:rPr>
                <w:rFonts w:hint="eastAsia" w:ascii="宋体" w:hAnsi="宋体" w:eastAsia="宋体"/>
                <w:bCs/>
                <w:sz w:val="24"/>
                <w:szCs w:val="24"/>
              </w:rPr>
              <w:t>）</w:t>
            </w:r>
          </w:p>
        </w:tc>
        <w:tc>
          <w:tcPr>
            <w:tcW w:w="988"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人数</w:t>
            </w:r>
          </w:p>
        </w:tc>
        <w:tc>
          <w:tcPr>
            <w:tcW w:w="994" w:type="dxa"/>
            <w:vAlign w:val="center"/>
          </w:tcPr>
          <w:p>
            <w:pPr>
              <w:adjustRightInd w:val="0"/>
              <w:snapToGrid w:val="0"/>
              <w:spacing w:line="240" w:lineRule="exact"/>
              <w:jc w:val="center"/>
              <w:rPr>
                <w:rFonts w:hint="eastAsia" w:ascii="宋体" w:hAnsi="宋体" w:eastAsia="宋体"/>
                <w:bCs/>
                <w:sz w:val="24"/>
                <w:szCs w:val="24"/>
              </w:rPr>
            </w:pPr>
            <w:r>
              <w:rPr>
                <w:rFonts w:hint="eastAsia" w:ascii="宋体" w:hAnsi="宋体" w:eastAsia="宋体"/>
                <w:bCs/>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51" w:type="dxa"/>
            <w:tcBorders>
              <w:bottom w:val="single" w:color="auto" w:sz="4" w:space="0"/>
            </w:tcBorders>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6</w:t>
            </w:r>
            <w:r>
              <w:rPr>
                <w:rFonts w:ascii="宋体" w:hAnsi="宋体" w:eastAsia="宋体"/>
                <w:sz w:val="24"/>
                <w:szCs w:val="24"/>
              </w:rPr>
              <w:t>～201</w:t>
            </w:r>
            <w:r>
              <w:rPr>
                <w:rFonts w:hint="eastAsia" w:ascii="宋体" w:hAnsi="宋体" w:eastAsia="宋体"/>
                <w:sz w:val="24"/>
                <w:szCs w:val="24"/>
              </w:rPr>
              <w:t>7</w:t>
            </w:r>
          </w:p>
        </w:tc>
        <w:tc>
          <w:tcPr>
            <w:tcW w:w="900"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931</w:t>
            </w:r>
          </w:p>
        </w:tc>
        <w:tc>
          <w:tcPr>
            <w:tcW w:w="900"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75</w:t>
            </w:r>
          </w:p>
        </w:tc>
        <w:tc>
          <w:tcPr>
            <w:tcW w:w="960"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953</w:t>
            </w:r>
          </w:p>
        </w:tc>
        <w:tc>
          <w:tcPr>
            <w:tcW w:w="927"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77</w:t>
            </w:r>
          </w:p>
        </w:tc>
        <w:tc>
          <w:tcPr>
            <w:tcW w:w="886"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695</w:t>
            </w:r>
          </w:p>
        </w:tc>
        <w:tc>
          <w:tcPr>
            <w:tcW w:w="979"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53</w:t>
            </w:r>
          </w:p>
        </w:tc>
        <w:tc>
          <w:tcPr>
            <w:tcW w:w="988"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107</w:t>
            </w:r>
          </w:p>
        </w:tc>
        <w:tc>
          <w:tcPr>
            <w:tcW w:w="994" w:type="dxa"/>
            <w:tcBorders>
              <w:bottom w:val="single" w:color="auto" w:sz="4" w:space="0"/>
            </w:tcBorders>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51" w:type="dxa"/>
            <w:vAlign w:val="center"/>
          </w:tcPr>
          <w:p>
            <w:pPr>
              <w:spacing w:line="240" w:lineRule="atLeast"/>
              <w:jc w:val="center"/>
              <w:rPr>
                <w:rFonts w:hint="eastAsia" w:ascii="宋体" w:hAnsi="宋体" w:eastAsia="宋体" w:cs="宋体"/>
                <w:sz w:val="24"/>
                <w:szCs w:val="24"/>
              </w:rPr>
            </w:pPr>
            <w:r>
              <w:rPr>
                <w:rFonts w:ascii="宋体" w:hAnsi="宋体" w:eastAsia="宋体"/>
                <w:sz w:val="24"/>
                <w:szCs w:val="24"/>
              </w:rPr>
              <w:t>201</w:t>
            </w:r>
            <w:r>
              <w:rPr>
                <w:rFonts w:hint="eastAsia" w:ascii="宋体" w:hAnsi="宋体" w:eastAsia="宋体"/>
                <w:sz w:val="24"/>
                <w:szCs w:val="24"/>
              </w:rPr>
              <w:t>7</w:t>
            </w:r>
            <w:r>
              <w:rPr>
                <w:rFonts w:ascii="宋体" w:hAnsi="宋体" w:eastAsia="宋体"/>
                <w:sz w:val="24"/>
                <w:szCs w:val="24"/>
              </w:rPr>
              <w:t>～201</w:t>
            </w:r>
            <w:r>
              <w:rPr>
                <w:rFonts w:hint="eastAsia" w:ascii="宋体" w:hAnsi="宋体" w:eastAsia="宋体"/>
                <w:sz w:val="24"/>
                <w:szCs w:val="24"/>
              </w:rPr>
              <w:t>8</w:t>
            </w:r>
          </w:p>
        </w:tc>
        <w:tc>
          <w:tcPr>
            <w:tcW w:w="90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895</w:t>
            </w:r>
          </w:p>
        </w:tc>
        <w:tc>
          <w:tcPr>
            <w:tcW w:w="90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76</w:t>
            </w:r>
          </w:p>
        </w:tc>
        <w:tc>
          <w:tcPr>
            <w:tcW w:w="960"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927</w:t>
            </w:r>
          </w:p>
        </w:tc>
        <w:tc>
          <w:tcPr>
            <w:tcW w:w="927"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78</w:t>
            </w:r>
          </w:p>
        </w:tc>
        <w:tc>
          <w:tcPr>
            <w:tcW w:w="886"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705</w:t>
            </w:r>
          </w:p>
        </w:tc>
        <w:tc>
          <w:tcPr>
            <w:tcW w:w="979"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60</w:t>
            </w:r>
          </w:p>
        </w:tc>
        <w:tc>
          <w:tcPr>
            <w:tcW w:w="988" w:type="dxa"/>
            <w:vAlign w:val="center"/>
          </w:tcPr>
          <w:p>
            <w:pPr>
              <w:adjustRightInd w:val="0"/>
              <w:snapToGrid w:val="0"/>
              <w:spacing w:line="220" w:lineRule="atLeast"/>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55</w:t>
            </w:r>
          </w:p>
        </w:tc>
        <w:tc>
          <w:tcPr>
            <w:tcW w:w="994" w:type="dxa"/>
            <w:vAlign w:val="center"/>
          </w:tcPr>
          <w:p>
            <w:pPr>
              <w:adjustRightInd w:val="0"/>
              <w:snapToGrid w:val="0"/>
              <w:spacing w:line="220" w:lineRule="atLeast"/>
              <w:jc w:val="center"/>
              <w:rPr>
                <w:rFonts w:hint="eastAsia" w:ascii="宋体" w:hAnsi="宋体" w:eastAsia="宋体"/>
                <w:sz w:val="24"/>
                <w:szCs w:val="24"/>
              </w:rPr>
            </w:pPr>
            <w:r>
              <w:rPr>
                <w:rFonts w:hint="eastAsia" w:ascii="宋体" w:hAnsi="宋体" w:eastAsia="宋体"/>
                <w:sz w:val="24"/>
                <w:szCs w:val="24"/>
              </w:rPr>
              <w:t>13</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3.质量保障措施</w:t>
      </w:r>
      <w:r>
        <w:rPr>
          <w:rFonts w:ascii="宋体" w:hAnsi="宋体" w:eastAsia="宋体" w:cs="宋体"/>
          <w:kern w:val="0"/>
          <w:sz w:val="24"/>
          <w:szCs w:val="24"/>
        </w:rPr>
        <w:br w:type="textWrapping"/>
      </w:r>
      <w:r>
        <w:rPr>
          <w:rFonts w:ascii="宋体" w:hAnsi="宋体" w:eastAsia="宋体" w:cs="宋体"/>
          <w:kern w:val="0"/>
          <w:sz w:val="24"/>
          <w:szCs w:val="24"/>
        </w:rPr>
        <w:t>3.1专业动态调整。</w:t>
      </w:r>
      <w:r>
        <w:rPr>
          <w:rFonts w:ascii="宋体" w:hAnsi="宋体" w:eastAsia="宋体" w:cs="宋体"/>
          <w:kern w:val="0"/>
          <w:sz w:val="24"/>
          <w:szCs w:val="24"/>
        </w:rPr>
        <w:br w:type="textWrapping"/>
      </w:r>
      <w:r>
        <w:rPr>
          <w:rFonts w:ascii="宋体" w:hAnsi="宋体" w:eastAsia="宋体" w:cs="宋体"/>
          <w:kern w:val="0"/>
          <w:sz w:val="24"/>
          <w:szCs w:val="24"/>
        </w:rPr>
        <w:t>3.1.1我校认真制定专业建设规划，面向社会，进一步建立健全教研组，推进专业现代化建设，优化构建和发展专业群，</w:t>
      </w:r>
      <w:r>
        <w:rPr>
          <w:rFonts w:hint="eastAsia" w:ascii="宋体" w:hAnsi="宋体" w:eastAsia="宋体" w:cs="宋体"/>
          <w:kern w:val="0"/>
          <w:sz w:val="24"/>
          <w:szCs w:val="24"/>
        </w:rPr>
        <w:t>药剂</w:t>
      </w:r>
      <w:r>
        <w:rPr>
          <w:rFonts w:ascii="宋体" w:hAnsi="宋体" w:eastAsia="宋体" w:cs="宋体"/>
          <w:kern w:val="0"/>
          <w:sz w:val="24"/>
          <w:szCs w:val="24"/>
        </w:rPr>
        <w:t>专业和</w:t>
      </w:r>
      <w:r>
        <w:rPr>
          <w:rFonts w:hint="eastAsia" w:ascii="宋体" w:hAnsi="宋体" w:eastAsia="宋体" w:cs="宋体"/>
          <w:kern w:val="0"/>
          <w:sz w:val="24"/>
          <w:szCs w:val="24"/>
        </w:rPr>
        <w:t>中药</w:t>
      </w:r>
      <w:r>
        <w:rPr>
          <w:rFonts w:ascii="宋体" w:hAnsi="宋体" w:eastAsia="宋体" w:cs="宋体"/>
          <w:kern w:val="0"/>
          <w:sz w:val="24"/>
          <w:szCs w:val="24"/>
        </w:rPr>
        <w:t>专业为省级重点专业。学校积极应对市场产业结构调整变化，科学设置专业，不断优化课程结构，致力于优化传统专业，做强主干专业，发展新兴专业，打造品牌专业。</w:t>
      </w:r>
    </w:p>
    <w:p>
      <w:pPr>
        <w:rPr>
          <w:rFonts w:ascii="宋体" w:hAnsi="宋体" w:eastAsia="宋体" w:cs="宋体"/>
          <w:kern w:val="0"/>
          <w:sz w:val="24"/>
          <w:szCs w:val="24"/>
        </w:rPr>
      </w:pPr>
      <w:r>
        <w:rPr>
          <w:rFonts w:ascii="宋体" w:hAnsi="宋体" w:eastAsia="宋体" w:cs="宋体"/>
          <w:kern w:val="0"/>
          <w:sz w:val="24"/>
          <w:szCs w:val="24"/>
        </w:rPr>
        <w:t>3.1.2学校科学定位人才培养目标，通过对学生进行素养和职业岗位技能训练，提高人才培养质量。以技能大赛为引领，将技能大赛的训练模式和专业前沿技术嵌入到人才培养全过程中，以点带面，面对全体同学生，全面提高学生技能水平。</w:t>
      </w:r>
      <w:r>
        <w:rPr>
          <w:rFonts w:ascii="宋体" w:hAnsi="宋体" w:eastAsia="宋体" w:cs="宋体"/>
          <w:kern w:val="0"/>
          <w:sz w:val="24"/>
          <w:szCs w:val="24"/>
        </w:rPr>
        <w:br w:type="textWrapping"/>
      </w:r>
      <w:r>
        <w:rPr>
          <w:rFonts w:ascii="宋体" w:hAnsi="宋体" w:eastAsia="宋体" w:cs="宋体"/>
          <w:kern w:val="0"/>
          <w:sz w:val="24"/>
          <w:szCs w:val="24"/>
        </w:rPr>
        <w:t>3.2教育教学改革。</w:t>
      </w:r>
      <w:r>
        <w:rPr>
          <w:rFonts w:ascii="宋体" w:hAnsi="宋体" w:eastAsia="宋体" w:cs="宋体"/>
          <w:kern w:val="0"/>
          <w:sz w:val="24"/>
          <w:szCs w:val="24"/>
        </w:rPr>
        <w:br w:type="textWrapping"/>
      </w:r>
      <w:r>
        <w:rPr>
          <w:rFonts w:ascii="宋体" w:hAnsi="宋体" w:eastAsia="宋体" w:cs="宋体"/>
          <w:kern w:val="0"/>
          <w:sz w:val="24"/>
          <w:szCs w:val="24"/>
        </w:rPr>
        <w:t>3.2.1课程改革。三年制学生，前四学期分别开设《职业生涯规划》、《</w:t>
      </w:r>
      <w:r>
        <w:rPr>
          <w:rFonts w:hint="eastAsia" w:ascii="宋体" w:hAnsi="宋体" w:eastAsia="宋体" w:cs="宋体"/>
          <w:kern w:val="0"/>
          <w:sz w:val="24"/>
          <w:szCs w:val="24"/>
        </w:rPr>
        <w:t>心理健康</w:t>
      </w:r>
      <w:r>
        <w:rPr>
          <w:rFonts w:ascii="宋体" w:hAnsi="宋体" w:eastAsia="宋体" w:cs="宋体"/>
          <w:kern w:val="0"/>
          <w:sz w:val="24"/>
          <w:szCs w:val="24"/>
        </w:rPr>
        <w:t>》、《</w:t>
      </w:r>
      <w:r>
        <w:rPr>
          <w:rFonts w:hint="eastAsia" w:ascii="宋体" w:hAnsi="宋体" w:eastAsia="宋体" w:cs="宋体"/>
          <w:kern w:val="0"/>
          <w:sz w:val="24"/>
          <w:szCs w:val="24"/>
        </w:rPr>
        <w:t>语文</w:t>
      </w:r>
      <w:r>
        <w:rPr>
          <w:rFonts w:ascii="宋体" w:hAnsi="宋体" w:eastAsia="宋体" w:cs="宋体"/>
          <w:kern w:val="0"/>
          <w:sz w:val="24"/>
          <w:szCs w:val="24"/>
        </w:rPr>
        <w:t>》、《</w:t>
      </w:r>
      <w:r>
        <w:rPr>
          <w:rFonts w:hint="eastAsia" w:ascii="宋体" w:hAnsi="宋体" w:eastAsia="宋体" w:cs="宋体"/>
          <w:kern w:val="0"/>
          <w:sz w:val="24"/>
          <w:szCs w:val="24"/>
        </w:rPr>
        <w:t>计算机</w:t>
      </w:r>
      <w:r>
        <w:rPr>
          <w:rFonts w:ascii="宋体" w:hAnsi="宋体" w:eastAsia="宋体" w:cs="宋体"/>
          <w:kern w:val="0"/>
          <w:sz w:val="24"/>
          <w:szCs w:val="24"/>
        </w:rPr>
        <w:t>》、体育五门课程，每周2节，安排有丰富教学经验的本专业中高级教师任课。公共课程着眼于基础性、应用性和发展性，为后继专业课程教学服务，为学生终身发展服务。精心选择公共课程的内容，促进公共课和专业课、学生实习的有机融合，积极探索适合职业教育需要的公共课程教学的新形式和新方法。要求专业课教师教学时，严格按照专业课程标准体现专业教学的某一方面或某一领域对学生在知识与技能、过程与方法、情感态度与价值观等方面的基本要求，并规定专业课程的性质、目标、设计思路、内容框架，提出教学建议和评价建议。我校公共基础课程学时约占总学时的1/3，累计总学时约为1学年。保证学生修完公共基础课程的必修内容和学时。专业技能课程学时约占总学时的2/3，其中顶岗实习累计总学时原则上为1学年。认真落实了教育部、财政部关于《中等职业学校学生实习管理办法》的规定和要求。严格要求每一位任课老师严格执行国家课程大纲，国家没有统一教学大纲的，各学科组要认真加以研究，参考兄弟学校教学情况，制定出我校的教学标准计划，杜绝上课的随意性。</w:t>
      </w:r>
      <w:r>
        <w:rPr>
          <w:rFonts w:ascii="宋体" w:hAnsi="宋体" w:eastAsia="宋体" w:cs="宋体"/>
          <w:kern w:val="0"/>
          <w:sz w:val="24"/>
          <w:szCs w:val="24"/>
        </w:rPr>
        <w:br w:type="textWrapping"/>
      </w:r>
      <w:r>
        <w:rPr>
          <w:rFonts w:ascii="宋体" w:hAnsi="宋体" w:eastAsia="宋体" w:cs="宋体"/>
          <w:kern w:val="0"/>
          <w:sz w:val="24"/>
          <w:szCs w:val="24"/>
        </w:rPr>
        <w:t>3.2.2教学改革。学校实施性教学计划以培养学生创新精神与实践能力为出发点，以学生的可持续发展为基本要求，明确应用型创新人才的培养目标。根据学校培养目标，本着重视公共文化课程、加强专业核心课程、扩大选修课程的原则，围绕核心课程目标、教学内容、教学模式、教材建设等方面进行研讨。充分发挥专业建设指导委员会的作用，调整公共文化课程比例，突出专业核心课程与训练项目的要求，不断对原专业的课程标准进行修订；重视专业通用平台的建立，专业拓展课程显示专业方向性，专业选修课拓宽学生的专业视野，为学生综合素质的发展提供广阔的空间。各专业根据教育部的要求开设德育课程，开设语文、计算机应用基础、体育与</w:t>
      </w:r>
      <w:r>
        <w:rPr>
          <w:rFonts w:hint="eastAsia" w:ascii="宋体" w:hAnsi="宋体" w:eastAsia="宋体" w:cs="宋体"/>
          <w:kern w:val="0"/>
          <w:sz w:val="24"/>
          <w:szCs w:val="24"/>
        </w:rPr>
        <w:t>心理</w:t>
      </w:r>
      <w:r>
        <w:rPr>
          <w:rFonts w:ascii="宋体" w:hAnsi="宋体" w:eastAsia="宋体" w:cs="宋体"/>
          <w:kern w:val="0"/>
          <w:sz w:val="24"/>
          <w:szCs w:val="24"/>
        </w:rPr>
        <w:t>健康等文化基础课程。在教学过程中，打破理论在前实践滞后的旧教学模式，第一学期就安排一定量的实践课，让学生对本专业的内容提前了解，增加对后续课程学习的感性认识。贯穿“先做后学”“学做合一”于教学活动的始终，激发学生的学习热情。借助基地平台，大力开展课改实验，优化人才培养模式。通过生产与实习零距离接轨，践行工学结合模式</w:t>
      </w:r>
      <w:r>
        <w:rPr>
          <w:rFonts w:hint="eastAsia" w:ascii="宋体" w:hAnsi="宋体" w:eastAsia="宋体" w:cs="宋体"/>
          <w:kern w:val="0"/>
          <w:sz w:val="24"/>
          <w:szCs w:val="24"/>
        </w:rPr>
        <w:t>。</w:t>
      </w:r>
    </w:p>
    <w:p>
      <w:pPr>
        <w:rPr>
          <w:rFonts w:ascii="宋体" w:hAnsi="宋体" w:eastAsia="宋体" w:cs="宋体"/>
          <w:kern w:val="0"/>
          <w:sz w:val="24"/>
          <w:szCs w:val="24"/>
        </w:rPr>
      </w:pPr>
      <w:r>
        <w:rPr>
          <w:rFonts w:ascii="宋体" w:hAnsi="宋体" w:eastAsia="宋体" w:cs="宋体"/>
          <w:kern w:val="0"/>
          <w:sz w:val="24"/>
          <w:szCs w:val="24"/>
        </w:rPr>
        <w:t xml:space="preserve"> 3.2.3改革效果。学校一贯重视培养学生的创业意识、创业精神、创新思维和创业能力，坚持不懈地开展创业教育，鼓励学生积极参与自主创业，不但重视创新创业课程的教学，而且在学校各班开展了“创业小组”，营造良好的创业氛围，给学生提供创业实践的舞台，为今后的发展开辟更多更广的天地。</w:t>
      </w:r>
      <w:r>
        <w:rPr>
          <w:rFonts w:ascii="宋体" w:hAnsi="宋体" w:eastAsia="宋体" w:cs="宋体"/>
          <w:kern w:val="0"/>
          <w:sz w:val="24"/>
          <w:szCs w:val="24"/>
        </w:rPr>
        <w:br w:type="textWrapping"/>
      </w:r>
      <w:r>
        <w:rPr>
          <w:rFonts w:ascii="宋体" w:hAnsi="宋体" w:eastAsia="宋体" w:cs="宋体"/>
          <w:kern w:val="0"/>
          <w:sz w:val="24"/>
          <w:szCs w:val="24"/>
        </w:rPr>
        <w:t>3.3教师培养培训。</w:t>
      </w:r>
      <w:r>
        <w:rPr>
          <w:rFonts w:ascii="宋体" w:hAnsi="宋体" w:eastAsia="宋体" w:cs="宋体"/>
          <w:kern w:val="0"/>
          <w:sz w:val="24"/>
          <w:szCs w:val="24"/>
        </w:rPr>
        <w:br w:type="textWrapping"/>
      </w:r>
      <w:r>
        <w:rPr>
          <w:rFonts w:ascii="宋体" w:hAnsi="宋体" w:eastAsia="宋体" w:cs="宋体"/>
          <w:kern w:val="0"/>
          <w:sz w:val="24"/>
          <w:szCs w:val="24"/>
        </w:rPr>
        <w:t>3.3.1顶层设计。学校进一步增强科研兴师、兴教兴校的内涵发展战略，以省职业教育提升工程为契机，通过专业培训平台，有计划，有重点，有步骤地推进师资队伍建设。学校实施《阜阳高层次专业技术人才培养方案》，加强高层次人才、名师培养工作，鼓励和引导教职工积极投身教科研，参加各类创业创新大赛、课堂教学竞赛、信息化教学大赛等活动。</w:t>
      </w:r>
      <w:r>
        <w:rPr>
          <w:rFonts w:ascii="宋体" w:hAnsi="宋体" w:eastAsia="宋体" w:cs="宋体"/>
          <w:kern w:val="0"/>
          <w:sz w:val="24"/>
          <w:szCs w:val="24"/>
        </w:rPr>
        <w:br w:type="textWrapping"/>
      </w:r>
      <w:r>
        <w:rPr>
          <w:rFonts w:ascii="宋体" w:hAnsi="宋体" w:eastAsia="宋体" w:cs="宋体"/>
          <w:kern w:val="0"/>
          <w:sz w:val="24"/>
          <w:szCs w:val="24"/>
        </w:rPr>
        <w:t>3.3.2具体措施。学校制定了专业教师参加企业实践管理办法，规范教师企业实践行为。要求教师参加企业岗位实践，必须制订岗位实践计划，明确实践岗位、实践要求、实践时间、考核标准等。教师要根据实践计划的要求，认真参加企业岗位实践，切实提高自身的专业知识水平和专业技术能力，定期以书面形式向学校汇报参加企业岗位实践的情况，每期参加企业岗位实践结束后，必须提交参加企业岗位实践的书面总结和效果汇报。学校组织对参加企业岗位实践的教师进行考核评价，并将考核结果作为学校奖励津贴发放的重要依据。教师企业实践促进“双师”型教师的培养，提高专业教师适应经济建设的能力，促进教师实践技术技能水平的提高。</w:t>
      </w:r>
      <w:r>
        <w:rPr>
          <w:rFonts w:ascii="宋体" w:hAnsi="宋体" w:eastAsia="宋体" w:cs="宋体"/>
          <w:kern w:val="0"/>
          <w:sz w:val="24"/>
          <w:szCs w:val="24"/>
        </w:rPr>
        <w:br w:type="textWrapping"/>
      </w:r>
      <w:r>
        <w:rPr>
          <w:rFonts w:ascii="宋体" w:hAnsi="宋体" w:eastAsia="宋体" w:cs="宋体"/>
          <w:kern w:val="0"/>
          <w:sz w:val="24"/>
          <w:szCs w:val="24"/>
        </w:rPr>
        <w:t>3.3.3培养成果。</w:t>
      </w:r>
      <w:r>
        <w:rPr>
          <w:rFonts w:ascii="宋体" w:hAnsi="宋体" w:eastAsia="宋体" w:cs="宋体"/>
          <w:kern w:val="0"/>
          <w:sz w:val="24"/>
          <w:szCs w:val="24"/>
        </w:rPr>
        <w:br w:type="textWrapping"/>
      </w:r>
      <w:r>
        <w:rPr>
          <w:rFonts w:ascii="宋体" w:hAnsi="宋体" w:eastAsia="宋体" w:cs="宋体"/>
          <w:kern w:val="0"/>
          <w:sz w:val="24"/>
          <w:szCs w:val="24"/>
        </w:rPr>
        <w:t>第一、狠抓师资建设，教师队伍整体水平大幅提高。一是鼓励老师积极参加国家、省、市三级培训，加快双师型专业教学团队建设。2018年有</w:t>
      </w:r>
      <w:r>
        <w:rPr>
          <w:rFonts w:hint="eastAsia" w:ascii="宋体" w:hAnsi="宋体" w:eastAsia="宋体" w:cs="宋体"/>
          <w:kern w:val="0"/>
          <w:sz w:val="24"/>
          <w:szCs w:val="24"/>
        </w:rPr>
        <w:t>3</w:t>
      </w:r>
      <w:r>
        <w:rPr>
          <w:rFonts w:ascii="宋体" w:hAnsi="宋体" w:eastAsia="宋体" w:cs="宋体"/>
          <w:kern w:val="0"/>
          <w:sz w:val="24"/>
          <w:szCs w:val="24"/>
        </w:rPr>
        <w:t>人参加省级骨干教师培训和教育信息化培训，</w:t>
      </w:r>
      <w:r>
        <w:rPr>
          <w:rFonts w:hint="eastAsia" w:ascii="宋体" w:hAnsi="宋体" w:eastAsia="宋体" w:cs="宋体"/>
          <w:kern w:val="0"/>
          <w:sz w:val="24"/>
          <w:szCs w:val="24"/>
        </w:rPr>
        <w:t>3</w:t>
      </w:r>
      <w:r>
        <w:rPr>
          <w:rFonts w:ascii="宋体" w:hAnsi="宋体" w:eastAsia="宋体" w:cs="宋体"/>
          <w:kern w:val="0"/>
          <w:sz w:val="24"/>
          <w:szCs w:val="24"/>
        </w:rPr>
        <w:t>人参加市级骨干教师培训，</w:t>
      </w:r>
      <w:r>
        <w:rPr>
          <w:rFonts w:hint="eastAsia" w:ascii="宋体" w:hAnsi="宋体" w:eastAsia="宋体" w:cs="宋体"/>
          <w:kern w:val="0"/>
          <w:sz w:val="24"/>
          <w:szCs w:val="24"/>
        </w:rPr>
        <w:t>32</w:t>
      </w:r>
      <w:r>
        <w:rPr>
          <w:rFonts w:ascii="宋体" w:hAnsi="宋体" w:eastAsia="宋体" w:cs="宋体"/>
          <w:kern w:val="0"/>
          <w:sz w:val="24"/>
          <w:szCs w:val="24"/>
        </w:rPr>
        <w:t>人次参加省市网络远程继续教育培训。二是通过校企合作培训师资。选派青年教师到企业跟班学习锻炼。通过师资建设，我校教师队伍素质大幅提升，涌现了一批业务精湛、师德高尚的优秀教师。</w:t>
      </w:r>
    </w:p>
    <w:p>
      <w:pPr>
        <w:rPr>
          <w:rFonts w:ascii="宋体" w:hAnsi="宋体" w:eastAsia="宋体" w:cs="宋体"/>
          <w:kern w:val="0"/>
          <w:sz w:val="24"/>
          <w:szCs w:val="24"/>
        </w:rPr>
      </w:pPr>
      <w:r>
        <w:rPr>
          <w:rFonts w:ascii="宋体" w:hAnsi="宋体" w:eastAsia="宋体" w:cs="宋体"/>
          <w:kern w:val="0"/>
          <w:sz w:val="24"/>
          <w:szCs w:val="24"/>
        </w:rPr>
        <w:t>第二、以教研活动为载体，努力提高教师教育教学水平。一是营造学习氛围，健全学习制度。要求教师人人讲学习，人人爱学习，让学习培训形成风气。二是积极开展教研活动，注重实效。三是健全听课评课制度，</w:t>
      </w:r>
      <w:r>
        <w:rPr>
          <w:rFonts w:hint="eastAsia" w:ascii="宋体" w:hAnsi="宋体" w:eastAsia="宋体" w:cs="宋体"/>
          <w:kern w:val="0"/>
          <w:sz w:val="24"/>
          <w:szCs w:val="24"/>
        </w:rPr>
        <w:t>教务处</w:t>
      </w:r>
      <w:r>
        <w:rPr>
          <w:rFonts w:ascii="宋体" w:hAnsi="宋体" w:eastAsia="宋体" w:cs="宋体"/>
          <w:kern w:val="0"/>
          <w:sz w:val="24"/>
          <w:szCs w:val="24"/>
        </w:rPr>
        <w:t>随堂听课，课后评价其优缺点。四是积极开展青年教师信息化教学大赛。全市中职学校信息化教学大赛比赛，我校</w:t>
      </w:r>
      <w:r>
        <w:rPr>
          <w:rFonts w:hint="eastAsia" w:ascii="宋体" w:hAnsi="宋体" w:eastAsia="宋体" w:cs="宋体"/>
          <w:kern w:val="0"/>
          <w:sz w:val="24"/>
          <w:szCs w:val="24"/>
        </w:rPr>
        <w:t>3</w:t>
      </w:r>
      <w:r>
        <w:rPr>
          <w:rFonts w:ascii="宋体" w:hAnsi="宋体" w:eastAsia="宋体" w:cs="宋体"/>
          <w:kern w:val="0"/>
          <w:sz w:val="24"/>
          <w:szCs w:val="24"/>
        </w:rPr>
        <w:t>人获奖。</w:t>
      </w:r>
    </w:p>
    <w:p>
      <w:pPr>
        <w:rPr>
          <w:rFonts w:ascii="宋体" w:hAnsi="宋体" w:eastAsia="宋体" w:cs="宋体"/>
          <w:kern w:val="0"/>
          <w:sz w:val="24"/>
          <w:szCs w:val="24"/>
        </w:rPr>
      </w:pPr>
    </w:p>
    <w:p>
      <w:pPr>
        <w:rPr>
          <w:rFonts w:ascii="宋体" w:hAnsi="宋体" w:eastAsia="宋体" w:cs="宋体"/>
          <w:kern w:val="0"/>
          <w:sz w:val="24"/>
          <w:szCs w:val="24"/>
        </w:rPr>
      </w:pPr>
      <w:r>
        <w:rPr>
          <w:rFonts w:ascii="宋体" w:hAnsi="宋体" w:eastAsia="宋体" w:cs="宋体"/>
          <w:kern w:val="0"/>
          <w:sz w:val="24"/>
          <w:szCs w:val="24"/>
        </w:rPr>
        <w:t>3.4 规范管理情况。</w:t>
      </w:r>
      <w:r>
        <w:rPr>
          <w:rFonts w:ascii="宋体" w:hAnsi="宋体" w:eastAsia="宋体" w:cs="宋体"/>
          <w:kern w:val="0"/>
          <w:sz w:val="24"/>
          <w:szCs w:val="24"/>
        </w:rPr>
        <w:br w:type="textWrapping"/>
      </w:r>
      <w:r>
        <w:rPr>
          <w:rFonts w:ascii="宋体" w:hAnsi="宋体" w:eastAsia="宋体" w:cs="宋体"/>
          <w:kern w:val="0"/>
          <w:sz w:val="24"/>
          <w:szCs w:val="24"/>
        </w:rPr>
        <w:t>3.4.1教学管理。</w:t>
      </w:r>
      <w:r>
        <w:rPr>
          <w:rFonts w:ascii="宋体" w:hAnsi="宋体" w:eastAsia="宋体" w:cs="宋体"/>
          <w:kern w:val="0"/>
          <w:sz w:val="24"/>
          <w:szCs w:val="24"/>
        </w:rPr>
        <w:br w:type="textWrapping"/>
      </w:r>
      <w:r>
        <w:rPr>
          <w:rFonts w:ascii="宋体" w:hAnsi="宋体" w:eastAsia="宋体" w:cs="宋体"/>
          <w:kern w:val="0"/>
          <w:sz w:val="24"/>
          <w:szCs w:val="24"/>
        </w:rPr>
        <w:t>（1）加强教学督查，提高教学质量。学校教学以“向管理要质量”为目标，明确要求教师要努力加强自身师德修养，认真教书育人，圆满完成教学任务，使学生学有所得、学有所用、学有所悟。教</w:t>
      </w:r>
      <w:r>
        <w:rPr>
          <w:rFonts w:hint="eastAsia" w:ascii="宋体" w:hAnsi="宋体" w:eastAsia="宋体" w:cs="宋体"/>
          <w:kern w:val="0"/>
          <w:sz w:val="24"/>
          <w:szCs w:val="24"/>
        </w:rPr>
        <w:t>务</w:t>
      </w:r>
      <w:r>
        <w:rPr>
          <w:rFonts w:ascii="宋体" w:hAnsi="宋体" w:eastAsia="宋体" w:cs="宋体"/>
          <w:kern w:val="0"/>
          <w:sz w:val="24"/>
          <w:szCs w:val="24"/>
        </w:rPr>
        <w:t>处加大常规教学管理的检查力度，每学期数次进行教师教案及作业批改检查，认真记录检查结果。定期组织教学管理人员及名师深入课堂检查教师授课情况并认真记录。每期期末，教务处还要认真组织各年级学生进行评教活动。教务处将有关教学工作的检查结果，以教学通报的形式发</w:t>
      </w:r>
      <w:r>
        <w:rPr>
          <w:rFonts w:hint="eastAsia" w:ascii="宋体" w:hAnsi="宋体" w:eastAsia="宋体" w:cs="宋体"/>
          <w:kern w:val="0"/>
          <w:sz w:val="24"/>
          <w:szCs w:val="24"/>
        </w:rPr>
        <w:t>到</w:t>
      </w:r>
      <w:r>
        <w:rPr>
          <w:rFonts w:ascii="宋体" w:hAnsi="宋体" w:eastAsia="宋体" w:cs="宋体"/>
          <w:kern w:val="0"/>
          <w:sz w:val="24"/>
          <w:szCs w:val="24"/>
        </w:rPr>
        <w:t>各教研组。由于计划周密，措施到位，确保了教学质量的提高。</w:t>
      </w:r>
      <w:r>
        <w:rPr>
          <w:rFonts w:ascii="宋体" w:hAnsi="宋体" w:eastAsia="宋体" w:cs="宋体"/>
          <w:kern w:val="0"/>
          <w:sz w:val="24"/>
          <w:szCs w:val="24"/>
        </w:rPr>
        <w:br w:type="textWrapping"/>
      </w:r>
      <w:r>
        <w:rPr>
          <w:rFonts w:ascii="宋体" w:hAnsi="宋体" w:eastAsia="宋体" w:cs="宋体"/>
          <w:kern w:val="0"/>
          <w:sz w:val="24"/>
          <w:szCs w:val="24"/>
        </w:rPr>
        <w:t>（2）狠抓学风，提高学生巩固率。学校千辛万苦、千方百计抓学风，通过严明上下学纪律、完善班级评比方案、细化行政值周入堂检查等举措，实现了由“学风差，流失率高”向“学风好，巩固率高”的转变</w:t>
      </w:r>
      <w:r>
        <w:rPr>
          <w:rFonts w:hint="eastAsia" w:ascii="宋体" w:hAnsi="宋体" w:eastAsia="宋体" w:cs="宋体"/>
          <w:kern w:val="0"/>
          <w:sz w:val="24"/>
          <w:szCs w:val="24"/>
        </w:rPr>
        <w:t>，</w:t>
      </w:r>
      <w:r>
        <w:rPr>
          <w:rFonts w:ascii="宋体" w:hAnsi="宋体" w:eastAsia="宋体" w:cs="宋体"/>
          <w:kern w:val="0"/>
          <w:sz w:val="24"/>
          <w:szCs w:val="24"/>
        </w:rPr>
        <w:t>解决了职业学校比较棘手的中途辍学率高的难题。</w:t>
      </w:r>
      <w:r>
        <w:rPr>
          <w:rFonts w:ascii="宋体" w:hAnsi="宋体" w:eastAsia="宋体" w:cs="宋体"/>
          <w:kern w:val="0"/>
          <w:sz w:val="24"/>
          <w:szCs w:val="24"/>
        </w:rPr>
        <w:br w:type="textWrapping"/>
      </w:r>
      <w:r>
        <w:rPr>
          <w:rFonts w:ascii="宋体" w:hAnsi="宋体" w:eastAsia="宋体" w:cs="宋体"/>
          <w:kern w:val="0"/>
          <w:sz w:val="24"/>
          <w:szCs w:val="24"/>
        </w:rPr>
        <w:t>（3）强化日常管理。每日对班级学生的人数、仪容仪表、卫生等进行全面检查，规范学生的不良行为，讲脏话，不玩手机，不乱走动，形成良好的班风，争创文明班级。</w:t>
      </w:r>
      <w:r>
        <w:rPr>
          <w:rFonts w:ascii="宋体" w:hAnsi="宋体" w:eastAsia="宋体" w:cs="宋体"/>
          <w:kern w:val="0"/>
          <w:sz w:val="24"/>
          <w:szCs w:val="24"/>
        </w:rPr>
        <w:br w:type="textWrapping"/>
      </w:r>
      <w:r>
        <w:rPr>
          <w:rFonts w:ascii="宋体" w:hAnsi="宋体" w:eastAsia="宋体" w:cs="宋体"/>
          <w:kern w:val="0"/>
          <w:sz w:val="24"/>
          <w:szCs w:val="24"/>
        </w:rPr>
        <w:t>（4）安全工作常抓不懈。利用班会、国旗下讲话对学生进行安全、法制教育，培养学生的安全、法纪意识。定期为学生举办法制讲座；实行教师日常安全巡逻制度，经常排查安全隐患。学校的安全事故为零、师生犯罪率为零，学校被评为“市级文明校园”。</w:t>
      </w:r>
      <w:r>
        <w:rPr>
          <w:rFonts w:ascii="宋体" w:hAnsi="宋体" w:eastAsia="宋体" w:cs="宋体"/>
          <w:kern w:val="0"/>
          <w:sz w:val="24"/>
          <w:szCs w:val="24"/>
        </w:rPr>
        <w:br w:type="textWrapping"/>
      </w:r>
      <w:r>
        <w:rPr>
          <w:rFonts w:ascii="宋体" w:hAnsi="宋体" w:eastAsia="宋体" w:cs="宋体"/>
          <w:kern w:val="0"/>
          <w:sz w:val="24"/>
          <w:szCs w:val="24"/>
        </w:rPr>
        <w:t>（5）加强学生会建设。鼓励学生参加学校管理，提长升学生的管理能力。</w:t>
      </w:r>
      <w:r>
        <w:rPr>
          <w:rFonts w:ascii="宋体" w:hAnsi="宋体" w:eastAsia="宋体" w:cs="宋体"/>
          <w:kern w:val="0"/>
          <w:sz w:val="24"/>
          <w:szCs w:val="24"/>
        </w:rPr>
        <w:br w:type="textWrapping"/>
      </w:r>
      <w:r>
        <w:rPr>
          <w:rFonts w:ascii="宋体" w:hAnsi="宋体" w:eastAsia="宋体" w:cs="宋体"/>
          <w:kern w:val="0"/>
          <w:sz w:val="24"/>
          <w:szCs w:val="24"/>
        </w:rPr>
        <w:t>3.4.2学生管理。</w:t>
      </w:r>
      <w:r>
        <w:rPr>
          <w:rFonts w:ascii="宋体" w:hAnsi="宋体" w:eastAsia="宋体" w:cs="宋体"/>
          <w:kern w:val="0"/>
          <w:sz w:val="24"/>
          <w:szCs w:val="24"/>
        </w:rPr>
        <w:br w:type="textWrapping"/>
      </w:r>
      <w:r>
        <w:rPr>
          <w:rFonts w:ascii="宋体" w:hAnsi="宋体" w:eastAsia="宋体" w:cs="宋体"/>
          <w:kern w:val="0"/>
          <w:sz w:val="24"/>
          <w:szCs w:val="24"/>
        </w:rPr>
        <w:t>让学生自主管理是我校一大特色，让学生积极主动管理，既锻炼学生的管理能力，又培养学生的责任意识。一是成立学生会，让学生会参与学校管理，明确学生干部岗位职责，让学生会参与学校卫生大检查，班级参与学校值星工作，培养学生的管理能力。二是组织学生积极组建社团，教师给予指导，学生自主管理，自主开展日常工作。三是培养班委的自主管理能力，提倡班主任放手，让学生自己管理自己，培养学生主人翁精神。四是团委经常举行学生自主管理业务培训，学校聘请专家讲课，邀请学生会干部根据管理实践，分享自主管理心得体会。</w:t>
      </w:r>
      <w:r>
        <w:rPr>
          <w:rFonts w:ascii="宋体" w:hAnsi="宋体" w:eastAsia="宋体" w:cs="宋体"/>
          <w:kern w:val="0"/>
          <w:sz w:val="24"/>
          <w:szCs w:val="24"/>
        </w:rPr>
        <w:br w:type="textWrapping"/>
      </w:r>
      <w:r>
        <w:rPr>
          <w:rFonts w:ascii="宋体" w:hAnsi="宋体" w:eastAsia="宋体" w:cs="宋体"/>
          <w:kern w:val="0"/>
          <w:sz w:val="24"/>
          <w:szCs w:val="24"/>
        </w:rPr>
        <w:t>3.4.3财务管理。</w:t>
      </w:r>
      <w:r>
        <w:rPr>
          <w:rFonts w:ascii="宋体" w:hAnsi="宋体" w:eastAsia="宋体" w:cs="宋体"/>
          <w:kern w:val="0"/>
          <w:sz w:val="24"/>
          <w:szCs w:val="24"/>
        </w:rPr>
        <w:br w:type="textWrapping"/>
      </w:r>
      <w:r>
        <w:rPr>
          <w:rFonts w:ascii="宋体" w:hAnsi="宋体" w:eastAsia="宋体" w:cs="宋体"/>
          <w:kern w:val="0"/>
          <w:sz w:val="24"/>
          <w:szCs w:val="24"/>
        </w:rPr>
        <w:t>一是依法照章做好财务管理工作，管理好教育经费的收支。在资金使用上，严格执行审批制度，坚持按计划行事，合理使用资金，保证专款专用。重大项目集体研究，重大的资金使用做到及时公示，接受群众监督。</w:t>
      </w:r>
      <w:r>
        <w:rPr>
          <w:rFonts w:ascii="宋体" w:hAnsi="宋体" w:eastAsia="宋体" w:cs="宋体"/>
          <w:kern w:val="0"/>
          <w:sz w:val="24"/>
          <w:szCs w:val="24"/>
        </w:rPr>
        <w:br w:type="textWrapping"/>
      </w:r>
      <w:r>
        <w:rPr>
          <w:rFonts w:ascii="宋体" w:hAnsi="宋体" w:eastAsia="宋体" w:cs="宋体"/>
          <w:kern w:val="0"/>
          <w:sz w:val="24"/>
          <w:szCs w:val="24"/>
        </w:rPr>
        <w:t>二是严格财务制度，加强财务监督。严格财经纪律，规范审批程序，促进学校廉政建设，保证资金使用效率。</w:t>
      </w:r>
      <w:r>
        <w:rPr>
          <w:rFonts w:ascii="宋体" w:hAnsi="宋体" w:eastAsia="宋体" w:cs="宋体"/>
          <w:kern w:val="0"/>
          <w:sz w:val="24"/>
          <w:szCs w:val="24"/>
        </w:rPr>
        <w:br w:type="textWrapping"/>
      </w:r>
      <w:r>
        <w:rPr>
          <w:rFonts w:ascii="宋体" w:hAnsi="宋体" w:eastAsia="宋体" w:cs="宋体"/>
          <w:kern w:val="0"/>
          <w:sz w:val="24"/>
          <w:szCs w:val="24"/>
        </w:rPr>
        <w:t>三是制定预算审批程序和招标工作制度，学校重大项目建设集体研究，严格执行招投标制度。规范学校财务管理，提高资金的使用效率。规范学校采购及招标投标工作，提高学校资金的使用效益，维护学校利益，促进廉政建设。</w:t>
      </w:r>
      <w:r>
        <w:rPr>
          <w:rFonts w:ascii="宋体" w:hAnsi="宋体" w:eastAsia="宋体" w:cs="宋体"/>
          <w:kern w:val="0"/>
          <w:sz w:val="24"/>
          <w:szCs w:val="24"/>
        </w:rPr>
        <w:br w:type="textWrapping"/>
      </w:r>
      <w:r>
        <w:rPr>
          <w:rFonts w:ascii="宋体" w:hAnsi="宋体" w:eastAsia="宋体" w:cs="宋体"/>
          <w:kern w:val="0"/>
          <w:sz w:val="24"/>
          <w:szCs w:val="24"/>
        </w:rPr>
        <w:t>四是积极推进财务信息全面公开，主动接受监督与检查。为了夯实财务信息公开制度基础，提高财务信息公开的主动性、透明性、规范性，按照市财政局和教育局的要求，制订了我校财务公开管理体制建设方案，及时、准确、完整的对我校财务信息进行了公开。公开内容包括学校2018年部门预算、2017年决算报表、“三公经费”预决算信息、项目经费执行进度以及财政、审计、上级主管部门出具的审计监督评价报告及整改情况等。及时公示收支账单，提高学校财务管理的透明度。</w:t>
      </w:r>
      <w:r>
        <w:rPr>
          <w:rFonts w:ascii="宋体" w:hAnsi="宋体" w:eastAsia="宋体" w:cs="宋体"/>
          <w:kern w:val="0"/>
          <w:sz w:val="24"/>
          <w:szCs w:val="24"/>
        </w:rPr>
        <w:br w:type="textWrapping"/>
      </w:r>
      <w:r>
        <w:rPr>
          <w:rFonts w:ascii="宋体" w:hAnsi="宋体" w:eastAsia="宋体" w:cs="宋体"/>
          <w:kern w:val="0"/>
          <w:sz w:val="24"/>
          <w:szCs w:val="24"/>
        </w:rPr>
        <w:t>3.4.4后勤管理。</w:t>
      </w:r>
      <w:r>
        <w:rPr>
          <w:rFonts w:ascii="宋体" w:hAnsi="宋体" w:eastAsia="宋体" w:cs="宋体"/>
          <w:kern w:val="0"/>
          <w:sz w:val="24"/>
          <w:szCs w:val="24"/>
        </w:rPr>
        <w:br w:type="textWrapping"/>
      </w:r>
      <w:r>
        <w:rPr>
          <w:rFonts w:ascii="宋体" w:hAnsi="宋体" w:eastAsia="宋体" w:cs="宋体"/>
          <w:kern w:val="0"/>
          <w:sz w:val="24"/>
          <w:szCs w:val="24"/>
        </w:rPr>
        <w:t>我校以健全制度建设，强化制度执行力度为抓手，进一步完善管理机制、提高管理水平。2018年，我校建立和健全了内部控制体系，完善内部控制环境、预决算管理、资产管理、收入管理、支出管理、合同管理、采购管理、项目管理等的管理机制。进一步完善了采购机制和预算编制工作规程，修订了学校资产管理的有关规定，充分发挥现有资产设备服务教育教学和全体师生的作用。</w:t>
      </w:r>
      <w:r>
        <w:rPr>
          <w:rFonts w:ascii="宋体" w:hAnsi="宋体" w:eastAsia="宋体" w:cs="宋体"/>
          <w:kern w:val="0"/>
          <w:sz w:val="24"/>
          <w:szCs w:val="24"/>
        </w:rPr>
        <w:br w:type="textWrapping"/>
      </w:r>
      <w:r>
        <w:rPr>
          <w:rFonts w:ascii="宋体" w:hAnsi="宋体" w:eastAsia="宋体" w:cs="宋体"/>
          <w:kern w:val="0"/>
          <w:sz w:val="24"/>
          <w:szCs w:val="24"/>
        </w:rPr>
        <w:t>3.4.5安全管理。</w:t>
      </w:r>
      <w:r>
        <w:rPr>
          <w:rFonts w:ascii="宋体" w:hAnsi="宋体" w:eastAsia="宋体" w:cs="宋体"/>
          <w:kern w:val="0"/>
          <w:sz w:val="24"/>
          <w:szCs w:val="24"/>
        </w:rPr>
        <w:br w:type="textWrapping"/>
      </w:r>
      <w:r>
        <w:rPr>
          <w:rFonts w:ascii="宋体" w:hAnsi="宋体" w:eastAsia="宋体" w:cs="宋体"/>
          <w:kern w:val="0"/>
          <w:sz w:val="24"/>
          <w:szCs w:val="24"/>
        </w:rPr>
        <w:t>一是各种相关计划、总结、安全报表、相关材料及时上交，各项工作落实到位。</w:t>
      </w:r>
      <w:r>
        <w:rPr>
          <w:rFonts w:ascii="宋体" w:hAnsi="宋体" w:eastAsia="宋体" w:cs="宋体"/>
          <w:kern w:val="0"/>
          <w:sz w:val="24"/>
          <w:szCs w:val="24"/>
        </w:rPr>
        <w:br w:type="textWrapping"/>
      </w:r>
      <w:r>
        <w:rPr>
          <w:rFonts w:ascii="宋体" w:hAnsi="宋体" w:eastAsia="宋体" w:cs="宋体"/>
          <w:kern w:val="0"/>
          <w:sz w:val="24"/>
          <w:szCs w:val="24"/>
        </w:rPr>
        <w:t>二是开展安全自查，树立安全意识。定期召开安全教育主题班会，把安全教育作为学校德育工作的首要大事，做到学校行政例会有研究部署，班主任会议有安全形势汇报，对安全工作形成了“人人有责，齐抓共管”的局面。</w:t>
      </w:r>
      <w:r>
        <w:rPr>
          <w:rFonts w:ascii="宋体" w:hAnsi="宋体" w:eastAsia="宋体" w:cs="宋体"/>
          <w:kern w:val="0"/>
          <w:sz w:val="24"/>
          <w:szCs w:val="24"/>
        </w:rPr>
        <w:br w:type="textWrapping"/>
      </w:r>
      <w:r>
        <w:rPr>
          <w:rFonts w:ascii="宋体" w:hAnsi="宋体" w:eastAsia="宋体" w:cs="宋体"/>
          <w:kern w:val="0"/>
          <w:sz w:val="24"/>
          <w:szCs w:val="24"/>
        </w:rPr>
        <w:t>三是加强生命安全教育。重点加强对学生进行打架斗殴、交通安全、消防安全、游泳安全、楼道疏散安全、食品安全和预防各类传染病防控的教育，增强学生自救、自护能力。张贴和组织学生收看安全教育宣传片，开展防地震防火灾紧急疏散演练等。要求各班班委会设立安全委员，使班级安全工作有专人负责。</w:t>
      </w:r>
      <w:r>
        <w:rPr>
          <w:rFonts w:ascii="宋体" w:hAnsi="宋体" w:eastAsia="宋体" w:cs="宋体"/>
          <w:kern w:val="0"/>
          <w:sz w:val="24"/>
          <w:szCs w:val="24"/>
        </w:rPr>
        <w:br w:type="textWrapping"/>
      </w:r>
      <w:r>
        <w:rPr>
          <w:rFonts w:ascii="宋体" w:hAnsi="宋体" w:eastAsia="宋体" w:cs="宋体"/>
          <w:kern w:val="0"/>
          <w:sz w:val="24"/>
          <w:szCs w:val="24"/>
        </w:rPr>
        <w:t>四是加强师生的法纪教育。坚持每学期邀请市普法宣讲团专家对学生进行法纪教育，用浅显的案例，深刻地教育师生；利用国旗下的讲话、班会等加强法纪教育，使全校师生学法、知法、守法。</w:t>
      </w:r>
      <w:r>
        <w:rPr>
          <w:rFonts w:ascii="宋体" w:hAnsi="宋体" w:eastAsia="宋体" w:cs="宋体"/>
          <w:kern w:val="0"/>
          <w:sz w:val="24"/>
          <w:szCs w:val="24"/>
        </w:rPr>
        <w:br w:type="textWrapping"/>
      </w:r>
      <w:r>
        <w:rPr>
          <w:rFonts w:ascii="宋体" w:hAnsi="宋体" w:eastAsia="宋体" w:cs="宋体"/>
          <w:kern w:val="0"/>
          <w:sz w:val="24"/>
          <w:szCs w:val="24"/>
        </w:rPr>
        <w:t>五是实行国家法定节假日值班制度。加大节假日校园安全巡查力度。针对寒暑假和重大节日，印发通知要求和致家长的一封信等，提醒家长们配合做好安全防患工作。</w:t>
      </w:r>
      <w:r>
        <w:rPr>
          <w:rFonts w:ascii="宋体" w:hAnsi="宋体" w:eastAsia="宋体" w:cs="宋体"/>
          <w:kern w:val="0"/>
          <w:sz w:val="24"/>
          <w:szCs w:val="24"/>
        </w:rPr>
        <w:br w:type="textWrapping"/>
      </w:r>
      <w:r>
        <w:rPr>
          <w:rFonts w:ascii="宋体" w:hAnsi="宋体" w:eastAsia="宋体" w:cs="宋体"/>
          <w:kern w:val="0"/>
          <w:sz w:val="24"/>
          <w:szCs w:val="24"/>
        </w:rPr>
        <w:t>六是定期召开安全专题会，定期与相关处室对校园及其周边进行安全隐患大排查。</w:t>
      </w:r>
      <w:r>
        <w:rPr>
          <w:rFonts w:ascii="宋体" w:hAnsi="宋体" w:eastAsia="宋体" w:cs="宋体"/>
          <w:kern w:val="0"/>
          <w:sz w:val="24"/>
          <w:szCs w:val="24"/>
        </w:rPr>
        <w:br w:type="textWrapping"/>
      </w:r>
      <w:r>
        <w:rPr>
          <w:rFonts w:ascii="宋体" w:hAnsi="宋体" w:eastAsia="宋体" w:cs="宋体"/>
          <w:kern w:val="0"/>
          <w:sz w:val="24"/>
          <w:szCs w:val="24"/>
        </w:rPr>
        <w:t>七是严惩校园欺凌行为，坚持校园欺凌月报制，为学生创造良好学习环境。</w:t>
      </w:r>
      <w:r>
        <w:rPr>
          <w:rFonts w:ascii="宋体" w:hAnsi="宋体" w:eastAsia="宋体" w:cs="宋体"/>
          <w:kern w:val="0"/>
          <w:sz w:val="24"/>
          <w:szCs w:val="24"/>
        </w:rPr>
        <w:br w:type="textWrapping"/>
      </w:r>
      <w:r>
        <w:rPr>
          <w:rFonts w:ascii="宋体" w:hAnsi="宋体" w:eastAsia="宋体" w:cs="宋体"/>
          <w:kern w:val="0"/>
          <w:sz w:val="24"/>
          <w:szCs w:val="24"/>
        </w:rPr>
        <w:t>2018年，学校没有发生任何安全事故。学校获得2018年全市安全生产合格单位，获得市级综合治理合格单位。</w:t>
      </w:r>
    </w:p>
    <w:p>
      <w:pPr>
        <w:rPr>
          <w:rFonts w:ascii="宋体" w:hAnsi="宋体" w:eastAsia="宋体" w:cs="宋体"/>
          <w:kern w:val="0"/>
          <w:sz w:val="24"/>
          <w:szCs w:val="24"/>
        </w:rPr>
      </w:pPr>
      <w:r>
        <w:rPr>
          <w:rFonts w:ascii="宋体" w:hAnsi="宋体" w:eastAsia="宋体" w:cs="宋体"/>
          <w:kern w:val="0"/>
          <w:sz w:val="24"/>
          <w:szCs w:val="24"/>
        </w:rPr>
        <w:t>3.4.6科研管理建设。</w:t>
      </w:r>
      <w:r>
        <w:rPr>
          <w:rFonts w:ascii="宋体" w:hAnsi="宋体" w:eastAsia="宋体" w:cs="宋体"/>
          <w:kern w:val="0"/>
          <w:sz w:val="24"/>
          <w:szCs w:val="24"/>
        </w:rPr>
        <w:br w:type="textWrapping"/>
      </w:r>
      <w:r>
        <w:rPr>
          <w:rFonts w:ascii="宋体" w:hAnsi="宋体" w:eastAsia="宋体" w:cs="宋体"/>
          <w:kern w:val="0"/>
          <w:sz w:val="24"/>
          <w:szCs w:val="24"/>
        </w:rPr>
        <w:t>加强教科研组织与队伍建设，全面提高教师队伍整体素质。建立完善的教科研网络，加强教研组工作。教研组以教研组长为主，各级教学骨干积极参与，开展多种形式教研活动。学校建立教研组工作规范和考核制度，每学期进行考评。落实名师工程，培养教育科研骨干。学校重视学科带头人的教科研示范引领作用，组建名师工作坊，吸纳年轻骨干教师形成若干各具特色的教科研团队。关注教师专业成长，全面提高教师队伍整体素质。组织教师参加各级培训，提高水平和能力。学校继续开展暑期专业教师行业培训和文化课教师专业转岗培训。积极开展教学研究，组织教师参加各类教育教学竞赛。联系教学实际，积极撰写教育教学论文，深入开展科研课题研究。教师积极撰写教学后记和教学反思，使教学更具有实效性和针对性，提高教学的质量。</w:t>
      </w:r>
      <w:r>
        <w:rPr>
          <w:rFonts w:ascii="宋体" w:hAnsi="宋体" w:eastAsia="宋体" w:cs="宋体"/>
          <w:kern w:val="0"/>
          <w:sz w:val="24"/>
          <w:szCs w:val="24"/>
        </w:rPr>
        <w:br w:type="textWrapping"/>
      </w:r>
      <w:r>
        <w:rPr>
          <w:rFonts w:ascii="宋体" w:hAnsi="宋体" w:eastAsia="宋体" w:cs="宋体"/>
          <w:kern w:val="0"/>
          <w:sz w:val="24"/>
          <w:szCs w:val="24"/>
        </w:rPr>
        <w:t>3.4.7管理队伍建设。</w:t>
      </w:r>
      <w:r>
        <w:rPr>
          <w:rFonts w:ascii="宋体" w:hAnsi="宋体" w:eastAsia="宋体" w:cs="宋体"/>
          <w:kern w:val="0"/>
          <w:sz w:val="24"/>
          <w:szCs w:val="24"/>
        </w:rPr>
        <w:br w:type="textWrapping"/>
      </w:r>
      <w:r>
        <w:rPr>
          <w:rFonts w:ascii="宋体" w:hAnsi="宋体" w:eastAsia="宋体" w:cs="宋体"/>
          <w:kern w:val="0"/>
          <w:sz w:val="24"/>
          <w:szCs w:val="24"/>
        </w:rPr>
        <w:t>第一、学校注重抓常规管理，重点抓好三支队伍，一是抓中层班子队伍，二是抓班主任队伍，三是抓骨干教师队伍。第二、学校安排五个方面的管理层面，对学校形成立体式管理：一是班主任管理层面，全体班主任早晚自习必须到岗，检查班级人数，辅导督促学生学习；二是</w:t>
      </w:r>
      <w:r>
        <w:rPr>
          <w:rFonts w:hint="eastAsia" w:ascii="宋体" w:hAnsi="宋体" w:eastAsia="宋体" w:cs="宋体"/>
          <w:kern w:val="0"/>
          <w:sz w:val="24"/>
          <w:szCs w:val="24"/>
        </w:rPr>
        <w:t>学生工作处</w:t>
      </w:r>
      <w:r>
        <w:rPr>
          <w:rFonts w:ascii="宋体" w:hAnsi="宋体" w:eastAsia="宋体" w:cs="宋体"/>
          <w:kern w:val="0"/>
          <w:sz w:val="24"/>
          <w:szCs w:val="24"/>
        </w:rPr>
        <w:t>管理层面，值班人员检查早晚要有自习秩序及效果，检查班主任到岗情况；三是学校管理层面，参加早晚自习管理、夜间值班工作，处理突发事件，维护正常教学秩序；四是保卫科管理层面，每天值班到学生宿舍熄灯，维护校园秩序及处理突发事件；五是男女生宿舍管理层面，班主任检查学生就寝和寝室卫生，严管学生不假外宿，督促学生按时就寝。第三、学校对中层干部定岗定责，坚持人人有岗，人人有责的原则，明确每位中层干部的岗位职责，鼓励工作尽心尽力，对其多鼓励，少批评，使人人有事干，人人有干事创业的热情，切实提高了学校工作效率和服务水平。第四、明确了</w:t>
      </w:r>
      <w:r>
        <w:rPr>
          <w:rFonts w:hint="eastAsia" w:ascii="宋体" w:hAnsi="宋体" w:eastAsia="宋体" w:cs="宋体"/>
          <w:kern w:val="0"/>
          <w:sz w:val="24"/>
          <w:szCs w:val="24"/>
        </w:rPr>
        <w:t>各部门处室</w:t>
      </w:r>
      <w:r>
        <w:rPr>
          <w:rFonts w:ascii="宋体" w:hAnsi="宋体" w:eastAsia="宋体" w:cs="宋体"/>
          <w:kern w:val="0"/>
          <w:sz w:val="24"/>
          <w:szCs w:val="24"/>
        </w:rPr>
        <w:t>人员的职责，从师生出勤、推门听课、校园卫生死角、食堂饭菜质量监督、寝室卫生、基础设施毁损等全方位的查找问题，发现问题，及时处理。第五、创建微信</w:t>
      </w:r>
      <w:r>
        <w:rPr>
          <w:rFonts w:hint="eastAsia" w:ascii="宋体" w:hAnsi="宋体" w:eastAsia="宋体" w:cs="宋体"/>
          <w:kern w:val="0"/>
          <w:sz w:val="24"/>
          <w:szCs w:val="24"/>
        </w:rPr>
        <w:t>、QQ</w:t>
      </w:r>
      <w:r>
        <w:rPr>
          <w:rFonts w:ascii="宋体" w:hAnsi="宋体" w:eastAsia="宋体" w:cs="宋体"/>
          <w:kern w:val="0"/>
          <w:sz w:val="24"/>
          <w:szCs w:val="24"/>
        </w:rPr>
        <w:t>办公论坛，发现问题及时公布，相关处室对照职责，及时处理，建立问题台账，实行销号制。召开周行政例会，编制周行事历，总结本周工作，明确下周或近期重点工作。第</w:t>
      </w:r>
      <w:r>
        <w:rPr>
          <w:rFonts w:hint="eastAsia" w:ascii="宋体" w:hAnsi="宋体" w:eastAsia="宋体" w:cs="宋体"/>
          <w:kern w:val="0"/>
          <w:sz w:val="24"/>
          <w:szCs w:val="24"/>
        </w:rPr>
        <w:t>六</w:t>
      </w:r>
      <w:r>
        <w:rPr>
          <w:rFonts w:ascii="宋体" w:hAnsi="宋体" w:eastAsia="宋体" w:cs="宋体"/>
          <w:kern w:val="0"/>
          <w:sz w:val="24"/>
          <w:szCs w:val="24"/>
        </w:rPr>
        <w:t>、加强班主任管理，提高班主任待遇。一是调整早晚自习管理，将早晚自习划给纳入班主任管理，相邻的班主任自愿结对共同管理，按照一般超课时给班主任早晚自习报酬。二是根据教育部对班主任的管理制度，学校为其按月发放班主任津贴。三是提高班主任工作在职评中的年限分值。第八、加强骨干教师管理。一是积极鼓励骨干教师外出培训，开阔眼界，吸收新的教学理念。二是发放超课时津贴，让干事的人有回报。三是学校评优评先向骨干教师倾斜，为骨干教师营造干事创业的环境和氛围。</w:t>
      </w:r>
      <w:r>
        <w:rPr>
          <w:rFonts w:ascii="宋体" w:hAnsi="宋体" w:eastAsia="宋体" w:cs="宋体"/>
          <w:kern w:val="0"/>
          <w:sz w:val="24"/>
          <w:szCs w:val="24"/>
        </w:rPr>
        <w:br w:type="textWrapping"/>
      </w:r>
      <w:r>
        <w:rPr>
          <w:rFonts w:ascii="宋体" w:hAnsi="宋体" w:eastAsia="宋体" w:cs="宋体"/>
          <w:kern w:val="0"/>
          <w:sz w:val="24"/>
          <w:szCs w:val="24"/>
        </w:rPr>
        <w:t>3.4.8管理信息化水平。</w:t>
      </w:r>
      <w:r>
        <w:rPr>
          <w:rFonts w:ascii="宋体" w:hAnsi="宋体" w:eastAsia="宋体" w:cs="宋体"/>
          <w:kern w:val="0"/>
          <w:sz w:val="24"/>
          <w:szCs w:val="24"/>
        </w:rPr>
        <w:br w:type="textWrapping"/>
      </w:r>
      <w:r>
        <w:rPr>
          <w:rFonts w:ascii="宋体" w:hAnsi="宋体" w:eastAsia="宋体" w:cs="宋体"/>
          <w:kern w:val="0"/>
          <w:sz w:val="24"/>
          <w:szCs w:val="24"/>
        </w:rPr>
        <w:t>2018年，学校显著加快了学校管理与教学信息化建设的进程，逐年增加投资，以省职业教育教育质量提升工程为契机，积极推进校园OA协同办公，加强校园信息化建设。建成全校的校园安防监控、智能公共广播等系统，全部教室均配置了最新的交互式多媒体一体机教学终端，建成标准</w:t>
      </w:r>
      <w:r>
        <w:rPr>
          <w:rFonts w:hint="eastAsia" w:ascii="宋体" w:hAnsi="宋体" w:eastAsia="宋体" w:cs="宋体"/>
          <w:kern w:val="0"/>
          <w:sz w:val="24"/>
          <w:szCs w:val="24"/>
        </w:rPr>
        <w:t>190</w:t>
      </w:r>
      <w:r>
        <w:rPr>
          <w:rFonts w:ascii="宋体" w:hAnsi="宋体" w:eastAsia="宋体" w:cs="宋体"/>
          <w:kern w:val="0"/>
          <w:sz w:val="24"/>
          <w:szCs w:val="24"/>
        </w:rPr>
        <w:t>个多媒体教室和1个录播教室。</w:t>
      </w:r>
      <w:r>
        <w:rPr>
          <w:rFonts w:ascii="宋体" w:hAnsi="宋体" w:eastAsia="宋体" w:cs="宋体"/>
          <w:kern w:val="0"/>
          <w:sz w:val="24"/>
          <w:szCs w:val="24"/>
        </w:rPr>
        <w:br w:type="textWrapping"/>
      </w:r>
      <w:r>
        <w:rPr>
          <w:rFonts w:ascii="宋体" w:hAnsi="宋体" w:eastAsia="宋体" w:cs="宋体"/>
          <w:kern w:val="0"/>
          <w:sz w:val="24"/>
          <w:szCs w:val="24"/>
        </w:rPr>
        <w:t>学校对全校教职工实施多媒体应用、平台应用技术的全员培训，有效保障和促进了学校管理精细化、科技化、数字化、规范化的各项工作落到实处，实现教学与管理信息互联互通、快速高效的目标，促进学校管理水平再上新台阶。</w:t>
      </w:r>
      <w:r>
        <w:rPr>
          <w:rFonts w:ascii="宋体" w:hAnsi="宋体" w:eastAsia="宋体" w:cs="宋体"/>
          <w:kern w:val="0"/>
          <w:sz w:val="24"/>
          <w:szCs w:val="24"/>
        </w:rPr>
        <w:br w:type="textWrapping"/>
      </w:r>
      <w:r>
        <w:rPr>
          <w:rFonts w:ascii="宋体" w:hAnsi="宋体" w:eastAsia="宋体" w:cs="宋体"/>
          <w:kern w:val="0"/>
          <w:sz w:val="24"/>
          <w:szCs w:val="24"/>
        </w:rPr>
        <w:t>3.5 德育工作情况。</w:t>
      </w:r>
      <w:r>
        <w:rPr>
          <w:rFonts w:ascii="宋体" w:hAnsi="宋体" w:eastAsia="宋体" w:cs="宋体"/>
          <w:kern w:val="0"/>
          <w:sz w:val="24"/>
          <w:szCs w:val="24"/>
        </w:rPr>
        <w:br w:type="textWrapping"/>
      </w:r>
      <w:r>
        <w:rPr>
          <w:rFonts w:ascii="宋体" w:hAnsi="宋体" w:eastAsia="宋体" w:cs="宋体"/>
          <w:kern w:val="0"/>
          <w:sz w:val="24"/>
          <w:szCs w:val="24"/>
        </w:rPr>
        <w:t>3.5.1德育课实施情况。</w:t>
      </w:r>
      <w:r>
        <w:rPr>
          <w:rFonts w:ascii="宋体" w:hAnsi="宋体" w:eastAsia="宋体" w:cs="宋体"/>
          <w:kern w:val="0"/>
          <w:sz w:val="24"/>
          <w:szCs w:val="24"/>
        </w:rPr>
        <w:br w:type="textWrapping"/>
      </w:r>
      <w:r>
        <w:rPr>
          <w:rFonts w:ascii="宋体" w:hAnsi="宋体" w:eastAsia="宋体" w:cs="宋体"/>
          <w:kern w:val="0"/>
          <w:sz w:val="24"/>
          <w:szCs w:val="24"/>
        </w:rPr>
        <w:t>学校开设了《职业道德与法律》等专项德育课程，对学生进行思想品德和法治教育；学校规定周</w:t>
      </w:r>
      <w:r>
        <w:rPr>
          <w:rFonts w:hint="eastAsia" w:ascii="宋体" w:hAnsi="宋体" w:eastAsia="宋体" w:cs="宋体"/>
          <w:kern w:val="0"/>
          <w:sz w:val="24"/>
          <w:szCs w:val="24"/>
        </w:rPr>
        <w:t>日晚</w:t>
      </w:r>
      <w:r>
        <w:rPr>
          <w:rFonts w:ascii="宋体" w:hAnsi="宋体" w:eastAsia="宋体" w:cs="宋体"/>
          <w:kern w:val="0"/>
          <w:sz w:val="24"/>
          <w:szCs w:val="24"/>
        </w:rPr>
        <w:t>自习30分钟为班会时间，对学生加强德育教育；将德育工作融入到各门课程教学当中去；每学期均开设德育主题班会观摩活动。</w:t>
      </w:r>
      <w:r>
        <w:rPr>
          <w:rFonts w:ascii="宋体" w:hAnsi="宋体" w:eastAsia="宋体" w:cs="宋体"/>
          <w:kern w:val="0"/>
          <w:sz w:val="24"/>
          <w:szCs w:val="24"/>
        </w:rPr>
        <w:br w:type="textWrapping"/>
      </w:r>
      <w:r>
        <w:rPr>
          <w:rFonts w:ascii="宋体" w:hAnsi="宋体" w:eastAsia="宋体" w:cs="宋体"/>
          <w:kern w:val="0"/>
          <w:sz w:val="24"/>
          <w:szCs w:val="24"/>
        </w:rPr>
        <w:t>3.5.2校园文化建设。</w:t>
      </w:r>
    </w:p>
    <w:p>
      <w:pPr>
        <w:rPr>
          <w:rFonts w:ascii="宋体" w:hAnsi="宋体" w:eastAsia="宋体" w:cs="宋体"/>
          <w:kern w:val="0"/>
          <w:sz w:val="24"/>
          <w:szCs w:val="24"/>
        </w:rPr>
      </w:pPr>
      <w:r>
        <w:rPr>
          <w:rFonts w:ascii="宋体" w:hAnsi="宋体" w:eastAsia="宋体" w:cs="宋体"/>
          <w:kern w:val="0"/>
          <w:sz w:val="24"/>
          <w:szCs w:val="24"/>
        </w:rPr>
        <w:t>通过开展</w:t>
      </w:r>
      <w:r>
        <w:rPr>
          <w:rFonts w:hint="eastAsia" w:ascii="宋体" w:hAnsi="宋体" w:eastAsia="宋体" w:cs="宋体"/>
          <w:kern w:val="0"/>
          <w:sz w:val="24"/>
          <w:szCs w:val="24"/>
        </w:rPr>
        <w:t>形式多样的团委</w:t>
      </w:r>
      <w:r>
        <w:rPr>
          <w:rFonts w:ascii="宋体" w:hAnsi="宋体" w:eastAsia="宋体" w:cs="宋体"/>
          <w:kern w:val="0"/>
          <w:sz w:val="24"/>
          <w:szCs w:val="24"/>
        </w:rPr>
        <w:t>活动培养学生爱党、爱国、爱家乡的家国情怀，成为爱国的好青年；培养学生爱岗敬业的职业精神，成为企业的好职工；培养学生文明有礼的言行习惯，成为社会的好公民;努力把学生培养成为谦谦君子和温婉淑女。</w:t>
      </w:r>
      <w:r>
        <w:rPr>
          <w:rFonts w:ascii="宋体" w:hAnsi="宋体" w:eastAsia="宋体" w:cs="宋体"/>
          <w:kern w:val="0"/>
          <w:sz w:val="24"/>
          <w:szCs w:val="24"/>
        </w:rPr>
        <w:br w:type="textWrapping"/>
      </w:r>
      <w:r>
        <w:rPr>
          <w:rFonts w:ascii="宋体" w:hAnsi="宋体" w:eastAsia="宋体" w:cs="宋体"/>
          <w:kern w:val="0"/>
          <w:sz w:val="24"/>
          <w:szCs w:val="24"/>
        </w:rPr>
        <w:t>第一、通过开展诚信教育活动、父亲节和母亲节感恩教育活动、企业文化宣传教育活动、“大国工匠”故事会、“我是未来的大国工匠”演讲会，“爱岗敬业”演讲比赛、端午节爱国主义教育等活动，强化学生德行教育。</w:t>
      </w:r>
      <w:r>
        <w:rPr>
          <w:rFonts w:ascii="宋体" w:hAnsi="宋体" w:eastAsia="宋体" w:cs="宋体"/>
          <w:kern w:val="0"/>
          <w:sz w:val="24"/>
          <w:szCs w:val="24"/>
        </w:rPr>
        <w:br w:type="textWrapping"/>
      </w:r>
      <w:r>
        <w:rPr>
          <w:rFonts w:ascii="宋体" w:hAnsi="宋体" w:eastAsia="宋体" w:cs="宋体"/>
          <w:kern w:val="0"/>
          <w:sz w:val="24"/>
          <w:szCs w:val="24"/>
        </w:rPr>
        <w:t>第二、唱响主旋律，培养学生良好的思想情操。通过升旗仪式、国旗下演讲、青年志愿者活动、为乡村学校捐书助学、各种竞赛、征文、主题班会等形式，着重加强了对学生的爱国主义、集体主义、社会主义教育。</w:t>
      </w:r>
      <w:r>
        <w:rPr>
          <w:rFonts w:ascii="宋体" w:hAnsi="宋体" w:eastAsia="宋体" w:cs="宋体"/>
          <w:kern w:val="0"/>
          <w:sz w:val="24"/>
          <w:szCs w:val="24"/>
        </w:rPr>
        <w:br w:type="textWrapping"/>
      </w:r>
      <w:r>
        <w:rPr>
          <w:rFonts w:ascii="宋体" w:hAnsi="宋体" w:eastAsia="宋体" w:cs="宋体"/>
          <w:kern w:val="0"/>
          <w:sz w:val="24"/>
          <w:szCs w:val="24"/>
        </w:rPr>
        <w:t>第三、抓好校风的养成。狠抓学生着装、行为规范，规范学生生活、学习习惯；做好学校卫生责任区划分，以开展卫生评比、黑板报评比等一系列活动，扎实推动师生各方面规范化的养成，使学校基本上形成了一个诚信、文明和谐、安全的校园。</w:t>
      </w:r>
      <w:r>
        <w:rPr>
          <w:rFonts w:ascii="宋体" w:hAnsi="宋体" w:eastAsia="宋体" w:cs="宋体"/>
          <w:kern w:val="0"/>
          <w:sz w:val="24"/>
          <w:szCs w:val="24"/>
        </w:rPr>
        <w:br w:type="textWrapping"/>
      </w:r>
      <w:r>
        <w:rPr>
          <w:rFonts w:ascii="宋体" w:hAnsi="宋体" w:eastAsia="宋体" w:cs="宋体"/>
          <w:kern w:val="0"/>
          <w:sz w:val="24"/>
          <w:szCs w:val="24"/>
        </w:rPr>
        <w:t>第四、开展文明班级评选，为学生营造浓厚的学习氛围。按照班级自愿申报的原则，从班级活动、班风建设、班级学习情况、志愿服务活动等各方面进行综合评比，按照比例评选校级“文明班级”，发奖状，发文明班级创建奖金。学校通过开展“文明班级”评选活动，以评促建，既加强了班级自主管理，也促进了班集体凝聚力的形成，展现了班级的良好精神面貌。</w:t>
      </w:r>
      <w:r>
        <w:rPr>
          <w:rFonts w:ascii="宋体" w:hAnsi="宋体" w:eastAsia="宋体" w:cs="宋体"/>
          <w:kern w:val="0"/>
          <w:sz w:val="24"/>
          <w:szCs w:val="24"/>
        </w:rPr>
        <w:br w:type="textWrapping"/>
      </w:r>
      <w:r>
        <w:rPr>
          <w:rFonts w:ascii="宋体" w:hAnsi="宋体" w:eastAsia="宋体" w:cs="宋体"/>
          <w:kern w:val="0"/>
          <w:sz w:val="24"/>
          <w:szCs w:val="24"/>
        </w:rPr>
        <w:t>第五、开展文明寝室评比活动，强化学生寝室管理。成立寝室管理团队，明确职责，定期开展督查评比，每周二晚上对学生寝室进行综合检查评比，奖励好的，警告差的。聘请宿管员对学生宿舍统一管理，实行来人登记制度，每天按时检查住校生的就寝情况和不定时检查各寝室的纪律、卫生情况，严格实行夜间巡查制度。</w:t>
      </w:r>
      <w:r>
        <w:rPr>
          <w:rFonts w:ascii="宋体" w:hAnsi="宋体" w:eastAsia="宋体" w:cs="宋体"/>
          <w:kern w:val="0"/>
          <w:sz w:val="24"/>
          <w:szCs w:val="24"/>
        </w:rPr>
        <w:br w:type="textWrapping"/>
      </w:r>
      <w:r>
        <w:rPr>
          <w:rFonts w:ascii="宋体" w:hAnsi="宋体" w:eastAsia="宋体" w:cs="宋体"/>
          <w:kern w:val="0"/>
          <w:sz w:val="24"/>
          <w:szCs w:val="24"/>
        </w:rPr>
        <w:t>3.5.</w:t>
      </w:r>
      <w:r>
        <w:rPr>
          <w:rFonts w:hint="eastAsia" w:ascii="宋体" w:hAnsi="宋体" w:eastAsia="宋体" w:cs="宋体"/>
          <w:kern w:val="0"/>
          <w:sz w:val="24"/>
          <w:szCs w:val="24"/>
        </w:rPr>
        <w:t>3</w:t>
      </w:r>
      <w:r>
        <w:rPr>
          <w:rFonts w:ascii="宋体" w:hAnsi="宋体" w:eastAsia="宋体" w:cs="宋体"/>
          <w:kern w:val="0"/>
          <w:sz w:val="24"/>
          <w:szCs w:val="24"/>
        </w:rPr>
        <w:t>社团活动。</w:t>
      </w:r>
      <w:r>
        <w:rPr>
          <w:rFonts w:ascii="宋体" w:hAnsi="宋体" w:eastAsia="宋体" w:cs="宋体"/>
          <w:kern w:val="0"/>
          <w:sz w:val="24"/>
          <w:szCs w:val="24"/>
        </w:rPr>
        <w:br w:type="textWrapping"/>
      </w:r>
      <w:r>
        <w:rPr>
          <w:rFonts w:ascii="宋体" w:hAnsi="宋体" w:eastAsia="宋体" w:cs="宋体"/>
          <w:kern w:val="0"/>
          <w:sz w:val="24"/>
          <w:szCs w:val="24"/>
        </w:rPr>
        <w:t>学校积极开展学生社团活动，努力提升学生素质，着力营造良好的校园文化氛围。2018年，我校各种社团组织</w:t>
      </w:r>
      <w:r>
        <w:rPr>
          <w:rFonts w:hint="eastAsia" w:ascii="宋体" w:hAnsi="宋体" w:eastAsia="宋体" w:cs="宋体"/>
          <w:kern w:val="0"/>
          <w:sz w:val="24"/>
          <w:szCs w:val="24"/>
        </w:rPr>
        <w:t>5</w:t>
      </w:r>
      <w:r>
        <w:rPr>
          <w:rFonts w:ascii="宋体" w:hAnsi="宋体" w:eastAsia="宋体" w:cs="宋体"/>
          <w:kern w:val="0"/>
          <w:sz w:val="24"/>
          <w:szCs w:val="24"/>
        </w:rPr>
        <w:t>个。学校广播站、志愿者协会、文学社、朗诵协会等学生社团活动正常开展。</w:t>
      </w:r>
      <w:r>
        <w:rPr>
          <w:rFonts w:ascii="宋体" w:hAnsi="宋体" w:eastAsia="宋体" w:cs="宋体"/>
          <w:kern w:val="0"/>
          <w:sz w:val="24"/>
          <w:szCs w:val="24"/>
        </w:rPr>
        <w:br w:type="textWrapping"/>
      </w:r>
      <w:r>
        <w:rPr>
          <w:rFonts w:ascii="宋体" w:hAnsi="宋体" w:eastAsia="宋体" w:cs="宋体"/>
          <w:kern w:val="0"/>
          <w:sz w:val="24"/>
          <w:szCs w:val="24"/>
        </w:rPr>
        <w:t>3.5.</w:t>
      </w:r>
      <w:r>
        <w:rPr>
          <w:rFonts w:hint="eastAsia" w:ascii="宋体" w:hAnsi="宋体" w:eastAsia="宋体" w:cs="宋体"/>
          <w:kern w:val="0"/>
          <w:sz w:val="24"/>
          <w:szCs w:val="24"/>
        </w:rPr>
        <w:t>4</w:t>
      </w:r>
      <w:r>
        <w:rPr>
          <w:rFonts w:ascii="宋体" w:hAnsi="宋体" w:eastAsia="宋体" w:cs="宋体"/>
          <w:kern w:val="0"/>
          <w:sz w:val="24"/>
          <w:szCs w:val="24"/>
        </w:rPr>
        <w:t>加强团组织和学生会建设。</w:t>
      </w:r>
      <w:r>
        <w:rPr>
          <w:rFonts w:ascii="宋体" w:hAnsi="宋体" w:eastAsia="宋体" w:cs="宋体"/>
          <w:kern w:val="0"/>
          <w:sz w:val="24"/>
          <w:szCs w:val="24"/>
        </w:rPr>
        <w:br w:type="textWrapping"/>
      </w:r>
      <w:r>
        <w:rPr>
          <w:rFonts w:ascii="宋体" w:hAnsi="宋体" w:eastAsia="宋体" w:cs="宋体"/>
          <w:kern w:val="0"/>
          <w:sz w:val="24"/>
          <w:szCs w:val="24"/>
        </w:rPr>
        <w:t>一是社团创建实行报批制。建立相关制度，定期召开各种活动，发挥其作用。</w:t>
      </w:r>
      <w:r>
        <w:rPr>
          <w:rFonts w:ascii="宋体" w:hAnsi="宋体" w:eastAsia="宋体" w:cs="宋体"/>
          <w:kern w:val="0"/>
          <w:sz w:val="24"/>
          <w:szCs w:val="24"/>
        </w:rPr>
        <w:br w:type="textWrapping"/>
      </w:r>
      <w:r>
        <w:rPr>
          <w:rFonts w:ascii="宋体" w:hAnsi="宋体" w:eastAsia="宋体" w:cs="宋体"/>
          <w:kern w:val="0"/>
          <w:sz w:val="24"/>
          <w:szCs w:val="24"/>
        </w:rPr>
        <w:t>二是实行一年一次换届，实行代代相传，有团委、政教处专门监督管理。</w:t>
      </w:r>
      <w:r>
        <w:rPr>
          <w:rFonts w:ascii="宋体" w:hAnsi="宋体" w:eastAsia="宋体" w:cs="宋体"/>
          <w:kern w:val="0"/>
          <w:sz w:val="24"/>
          <w:szCs w:val="24"/>
        </w:rPr>
        <w:br w:type="textWrapping"/>
      </w:r>
      <w:r>
        <w:rPr>
          <w:rFonts w:ascii="宋体" w:hAnsi="宋体" w:eastAsia="宋体" w:cs="宋体"/>
          <w:kern w:val="0"/>
          <w:sz w:val="24"/>
          <w:szCs w:val="24"/>
        </w:rPr>
        <w:t>三是成立学生会，发挥学生会自主管理能力。学生会是我校最大的社团组织，有校学生会和专业部学生会，负责学校相关活动，参与学校管理。实行定期换届。</w:t>
      </w:r>
      <w:r>
        <w:rPr>
          <w:rFonts w:ascii="宋体" w:hAnsi="宋体" w:eastAsia="宋体" w:cs="宋体"/>
          <w:kern w:val="0"/>
          <w:sz w:val="24"/>
          <w:szCs w:val="24"/>
        </w:rPr>
        <w:br w:type="textWrapping"/>
      </w:r>
      <w:r>
        <w:rPr>
          <w:rFonts w:ascii="宋体" w:hAnsi="宋体" w:eastAsia="宋体" w:cs="宋体"/>
          <w:kern w:val="0"/>
          <w:sz w:val="24"/>
          <w:szCs w:val="24"/>
        </w:rPr>
        <w:t>3.6党建情况。</w:t>
      </w:r>
      <w:r>
        <w:rPr>
          <w:rFonts w:ascii="宋体" w:hAnsi="宋体" w:eastAsia="宋体" w:cs="宋体"/>
          <w:kern w:val="0"/>
          <w:sz w:val="24"/>
          <w:szCs w:val="24"/>
        </w:rPr>
        <w:br w:type="textWrapping"/>
      </w:r>
      <w:r>
        <w:rPr>
          <w:rFonts w:ascii="宋体" w:hAnsi="宋体" w:eastAsia="宋体" w:cs="宋体"/>
          <w:kern w:val="0"/>
          <w:sz w:val="24"/>
          <w:szCs w:val="24"/>
        </w:rPr>
        <w:t>3.6.1扎实开展党建工作，全面加强党的统一领导。</w:t>
      </w:r>
      <w:r>
        <w:rPr>
          <w:rFonts w:ascii="宋体" w:hAnsi="宋体" w:eastAsia="宋体" w:cs="宋体"/>
          <w:kern w:val="0"/>
          <w:sz w:val="24"/>
          <w:szCs w:val="24"/>
        </w:rPr>
        <w:br w:type="textWrapping"/>
      </w:r>
      <w:r>
        <w:rPr>
          <w:rFonts w:ascii="宋体" w:hAnsi="宋体" w:eastAsia="宋体" w:cs="宋体"/>
          <w:kern w:val="0"/>
          <w:sz w:val="24"/>
          <w:szCs w:val="24"/>
        </w:rPr>
        <w:t>1、加强理论学习，提升政治素质。一是组织广大干部师生员工认真研读党的十九大相关文件，学习习近平新时代中国特色社会主义思想，认真做好学习笔记，并撰写心得体会。</w:t>
      </w:r>
      <w:r>
        <w:rPr>
          <w:rFonts w:ascii="宋体" w:hAnsi="宋体" w:eastAsia="宋体" w:cs="宋体"/>
          <w:kern w:val="0"/>
          <w:sz w:val="24"/>
          <w:szCs w:val="24"/>
        </w:rPr>
        <w:br w:type="textWrapping"/>
      </w:r>
      <w:r>
        <w:rPr>
          <w:rFonts w:ascii="宋体" w:hAnsi="宋体" w:eastAsia="宋体" w:cs="宋体"/>
          <w:kern w:val="0"/>
          <w:sz w:val="24"/>
          <w:szCs w:val="24"/>
        </w:rPr>
        <w:t>2、牢固树立“四个意识”，坚定“四个自信”，做到“四个服从”，在思想上、政治上及行动上同以习近平为核心的党中央保持高度一致，不折不扣地贯彻落实中央、省、市决策部署，确保政令畅通。严格遵守党章和党内规章制度，带头改进工作作风，遵守领导干部廉洁从政各项规定。统一思想认识，提高党员政治站位。</w:t>
      </w:r>
      <w:r>
        <w:rPr>
          <w:rFonts w:ascii="宋体" w:hAnsi="宋体" w:eastAsia="宋体" w:cs="宋体"/>
          <w:kern w:val="0"/>
          <w:sz w:val="24"/>
          <w:szCs w:val="24"/>
        </w:rPr>
        <w:br w:type="textWrapping"/>
      </w:r>
      <w:r>
        <w:rPr>
          <w:rFonts w:ascii="宋体" w:hAnsi="宋体" w:eastAsia="宋体" w:cs="宋体"/>
          <w:kern w:val="0"/>
          <w:sz w:val="24"/>
          <w:szCs w:val="24"/>
        </w:rPr>
        <w:t>3、进一步健全党内制度，提高党内生活质量。认真落实“三会一课”制度、党费收缴制度、党员学习制度、党员发展制度等，以规范的制度管理，促进提高党内生活质量。</w:t>
      </w:r>
      <w:r>
        <w:rPr>
          <w:rFonts w:ascii="宋体" w:hAnsi="宋体" w:eastAsia="宋体" w:cs="宋体"/>
          <w:kern w:val="0"/>
          <w:sz w:val="24"/>
          <w:szCs w:val="24"/>
        </w:rPr>
        <w:br w:type="textWrapping"/>
      </w:r>
      <w:r>
        <w:rPr>
          <w:rFonts w:ascii="宋体" w:hAnsi="宋体" w:eastAsia="宋体" w:cs="宋体"/>
          <w:kern w:val="0"/>
          <w:sz w:val="24"/>
          <w:szCs w:val="24"/>
        </w:rPr>
        <w:t>4、规范党总支学习规范化、定期化，学习形式多样化，做到中央政令不折不扣贯彻落实。一是定期召开中心组学习，学习十九大精神、习近平重要系列讲话精神和党内重要文件、法规制度等。二是严格执行“三会一课”，组织支部全体党员定期开展学习。三是按要求召开好党总支民主生活会和支部一年两次的组织生活会。</w:t>
      </w:r>
      <w:r>
        <w:rPr>
          <w:rFonts w:ascii="宋体" w:hAnsi="宋体" w:eastAsia="宋体" w:cs="宋体"/>
          <w:kern w:val="0"/>
          <w:sz w:val="24"/>
          <w:szCs w:val="24"/>
        </w:rPr>
        <w:br w:type="textWrapping"/>
      </w:r>
      <w:r>
        <w:rPr>
          <w:rFonts w:ascii="宋体" w:hAnsi="宋体" w:eastAsia="宋体" w:cs="宋体"/>
          <w:kern w:val="0"/>
          <w:sz w:val="24"/>
          <w:szCs w:val="24"/>
        </w:rPr>
        <w:t>5、学校</w:t>
      </w:r>
      <w:r>
        <w:rPr>
          <w:rFonts w:hint="eastAsia" w:ascii="宋体" w:hAnsi="宋体" w:eastAsia="宋体" w:cs="宋体"/>
          <w:kern w:val="0"/>
          <w:sz w:val="24"/>
          <w:szCs w:val="24"/>
        </w:rPr>
        <w:t>一</w:t>
      </w:r>
      <w:r>
        <w:rPr>
          <w:rFonts w:ascii="宋体" w:hAnsi="宋体" w:eastAsia="宋体" w:cs="宋体"/>
          <w:kern w:val="0"/>
          <w:sz w:val="24"/>
          <w:szCs w:val="24"/>
        </w:rPr>
        <w:t>个党支部按照规定程序、经批准，在2018年成功举办换届选举工作，完成支委新老交替工作。</w:t>
      </w:r>
      <w:r>
        <w:rPr>
          <w:rFonts w:ascii="宋体" w:hAnsi="宋体" w:eastAsia="宋体" w:cs="宋体"/>
          <w:kern w:val="0"/>
          <w:sz w:val="24"/>
          <w:szCs w:val="24"/>
        </w:rPr>
        <w:br w:type="textWrapping"/>
      </w:r>
      <w:r>
        <w:rPr>
          <w:rFonts w:ascii="宋体" w:hAnsi="宋体" w:eastAsia="宋体" w:cs="宋体"/>
          <w:kern w:val="0"/>
          <w:sz w:val="24"/>
          <w:szCs w:val="24"/>
        </w:rPr>
        <w:t>6、开展丰富多彩的活动，丰富党建内容。一是开展“讲、严、立”专题警示教育活动，强化忠诚意识、严守纪律规矩，树立良好政德，进一步激励广大党员干部新时代新担当新作为。二是每月10日之前开展党员活动日，到临泉韦寨刘邓大军淮西指挥部开展“不忘初心，永远跟党走”活动，到监狱、市廉政教育基地接受警示教育，举办“粽香情”端午节包粽子开展爱国主义教育活动。三是开展基层党组织标准化建设工作。实现基层党组织规范化设置，推进党内组织生活标准化，认真落实“三会一课”、民主评议党员等基本制度，党内各项组织生活正常规范、严肃认真，党员参与率高、教育效果好。推进场所规范建设，丰富场所服务功能，做到硬件配置齐全、场所功能完备，较好满足党员活动需要，基层党组织基础保障水平明显提升。保证基层党建工作正常开展，按标准建立年度工作计划、年终工作总结、党员花名册、组织架构图、党费收缴、组织关系转接等台账资料，确保基层党组织有人干事、有钱办事、能办成事。通过开展基层党组织标准化建设工作，党建工作意识明显增强、党员队伍素质明显提升、组织基础建设明显夯实、创建质量明显提高，充分激发了党员的工作积极性，党组织凝聚力和党员先锋模范作用明显增强。</w:t>
      </w:r>
      <w:r>
        <w:rPr>
          <w:rFonts w:ascii="宋体" w:hAnsi="宋体" w:eastAsia="宋体" w:cs="宋体"/>
          <w:kern w:val="0"/>
          <w:sz w:val="24"/>
          <w:szCs w:val="24"/>
        </w:rPr>
        <w:br w:type="textWrapping"/>
      </w:r>
      <w:r>
        <w:rPr>
          <w:rFonts w:ascii="宋体" w:hAnsi="宋体" w:eastAsia="宋体" w:cs="宋体"/>
          <w:kern w:val="0"/>
          <w:sz w:val="24"/>
          <w:szCs w:val="24"/>
        </w:rPr>
        <w:t>3.6.2深化党风廉政建设，严格落实依法办学理念。</w:t>
      </w:r>
    </w:p>
    <w:p>
      <w:pPr>
        <w:rPr>
          <w:rFonts w:ascii="宋体" w:hAnsi="宋体" w:eastAsia="宋体" w:cs="宋体"/>
          <w:kern w:val="0"/>
          <w:sz w:val="24"/>
          <w:szCs w:val="24"/>
        </w:rPr>
      </w:pPr>
      <w:r>
        <w:rPr>
          <w:rFonts w:ascii="宋体" w:hAnsi="宋体" w:eastAsia="宋体" w:cs="宋体"/>
          <w:kern w:val="0"/>
          <w:sz w:val="24"/>
          <w:szCs w:val="24"/>
        </w:rPr>
        <w:t>认真执行党风廉政建设责任制，严格落实中央八项规定、省三十条和市三十六条。坚持民主集中制，发挥领导核心作用。严禁酒桌办公，学校管理干部和教职员工婚丧嫁娶实行申报制度，严格落实阜阳机关党员干部婚丧嫁娶规定。制定项目审批和财务报销程序制度，规范学校项目审批和财务报销程序。依法办学，规范招生，坚决抵制有偿招生。规范教学用书管理和征订工作。做好党务、校务公开工作。学校发展党员、师资培训、评优评先、职称评聘、年度考核、财务开支等情况，均在党务校务公开栏中公示，同时经常听取教职工对学校工作的意见和建议，大大增强教职工建言献策的主动性和积极性。</w:t>
      </w:r>
      <w:r>
        <w:rPr>
          <w:rFonts w:ascii="宋体" w:hAnsi="宋体" w:eastAsia="宋体" w:cs="宋体"/>
          <w:kern w:val="0"/>
          <w:sz w:val="24"/>
          <w:szCs w:val="24"/>
        </w:rPr>
        <w:br w:type="textWrapping"/>
      </w:r>
      <w:r>
        <w:rPr>
          <w:rFonts w:ascii="宋体" w:hAnsi="宋体" w:eastAsia="宋体" w:cs="宋体"/>
          <w:kern w:val="0"/>
          <w:sz w:val="24"/>
          <w:szCs w:val="24"/>
        </w:rPr>
        <w:t>4.校企合作</w:t>
      </w:r>
      <w:r>
        <w:rPr>
          <w:rFonts w:ascii="宋体" w:hAnsi="宋体" w:eastAsia="宋体" w:cs="宋体"/>
          <w:kern w:val="0"/>
          <w:sz w:val="24"/>
          <w:szCs w:val="24"/>
        </w:rPr>
        <w:br w:type="textWrapping"/>
      </w:r>
      <w:r>
        <w:rPr>
          <w:rFonts w:ascii="宋体" w:hAnsi="宋体" w:eastAsia="宋体" w:cs="宋体"/>
          <w:kern w:val="0"/>
          <w:sz w:val="24"/>
          <w:szCs w:val="24"/>
        </w:rPr>
        <w:t>4.1校企合作开展情况和效果。</w:t>
      </w:r>
      <w:r>
        <w:rPr>
          <w:rFonts w:ascii="宋体" w:hAnsi="宋体" w:eastAsia="宋体" w:cs="宋体"/>
          <w:kern w:val="0"/>
          <w:sz w:val="24"/>
          <w:szCs w:val="24"/>
        </w:rPr>
        <w:br w:type="textWrapping"/>
      </w:r>
      <w:r>
        <w:rPr>
          <w:rFonts w:ascii="宋体" w:hAnsi="宋体" w:eastAsia="宋体" w:cs="宋体"/>
          <w:kern w:val="0"/>
          <w:sz w:val="24"/>
          <w:szCs w:val="24"/>
        </w:rPr>
        <w:t>2018年，学校坚持以服务社会为宗旨，探索校企合作的新途径，想方设法拉近学生与岗位，学生与企业的距离，在“校企合作”等方面取得了一定的成效。学校积极深度开展校企合作，高质量地服务地方经济社会发展，与</w:t>
      </w:r>
      <w:r>
        <w:rPr>
          <w:rFonts w:hint="eastAsia" w:ascii="宋体" w:hAnsi="宋体" w:eastAsia="宋体" w:cs="宋体"/>
          <w:kern w:val="0"/>
          <w:sz w:val="24"/>
          <w:szCs w:val="24"/>
        </w:rPr>
        <w:t>阜阳第一大药房、阜阳聚缘堂</w:t>
      </w:r>
      <w:r>
        <w:rPr>
          <w:rFonts w:ascii="宋体" w:hAnsi="宋体" w:eastAsia="宋体" w:cs="宋体"/>
          <w:kern w:val="0"/>
          <w:sz w:val="24"/>
          <w:szCs w:val="24"/>
        </w:rPr>
        <w:t>等</w:t>
      </w:r>
      <w:r>
        <w:rPr>
          <w:rFonts w:hint="eastAsia" w:ascii="宋体" w:hAnsi="宋体" w:eastAsia="宋体" w:cs="宋体"/>
          <w:kern w:val="0"/>
          <w:sz w:val="24"/>
          <w:szCs w:val="24"/>
        </w:rPr>
        <w:t>4</w:t>
      </w:r>
      <w:r>
        <w:rPr>
          <w:rFonts w:ascii="宋体" w:hAnsi="宋体" w:eastAsia="宋体" w:cs="宋体"/>
          <w:kern w:val="0"/>
          <w:sz w:val="24"/>
          <w:szCs w:val="24"/>
        </w:rPr>
        <w:t>家国内大型</w:t>
      </w:r>
      <w:r>
        <w:rPr>
          <w:rFonts w:hint="eastAsia" w:ascii="宋体" w:hAnsi="宋体" w:eastAsia="宋体" w:cs="宋体"/>
          <w:kern w:val="0"/>
          <w:sz w:val="24"/>
          <w:szCs w:val="24"/>
        </w:rPr>
        <w:t>医药</w:t>
      </w:r>
      <w:r>
        <w:rPr>
          <w:rFonts w:ascii="宋体" w:hAnsi="宋体" w:eastAsia="宋体" w:cs="宋体"/>
          <w:kern w:val="0"/>
          <w:sz w:val="24"/>
          <w:szCs w:val="24"/>
        </w:rPr>
        <w:t>企业建立了紧密型校企合作关系</w:t>
      </w:r>
    </w:p>
    <w:p>
      <w:pPr>
        <w:rPr>
          <w:rFonts w:ascii="宋体" w:hAnsi="宋体" w:eastAsia="宋体" w:cs="宋体"/>
          <w:kern w:val="0"/>
          <w:sz w:val="24"/>
          <w:szCs w:val="24"/>
        </w:rPr>
      </w:pPr>
      <w:r>
        <w:rPr>
          <w:rFonts w:ascii="宋体" w:hAnsi="宋体" w:eastAsia="宋体" w:cs="宋体"/>
          <w:kern w:val="0"/>
          <w:sz w:val="24"/>
          <w:szCs w:val="24"/>
        </w:rPr>
        <w:t xml:space="preserve"> 4.2 学生实习情况。</w:t>
      </w:r>
      <w:r>
        <w:rPr>
          <w:rFonts w:ascii="宋体" w:hAnsi="宋体" w:eastAsia="宋体" w:cs="宋体"/>
          <w:kern w:val="0"/>
          <w:sz w:val="24"/>
          <w:szCs w:val="24"/>
        </w:rPr>
        <w:br w:type="textWrapping"/>
      </w:r>
      <w:r>
        <w:rPr>
          <w:rFonts w:ascii="宋体" w:hAnsi="宋体" w:eastAsia="宋体" w:cs="宋体"/>
          <w:kern w:val="0"/>
          <w:sz w:val="24"/>
          <w:szCs w:val="24"/>
        </w:rPr>
        <w:t>4.2.1广泛开辟就业渠道，建立就业网点。与</w:t>
      </w:r>
      <w:r>
        <w:rPr>
          <w:rFonts w:hint="eastAsia" w:ascii="宋体" w:hAnsi="宋体" w:eastAsia="宋体" w:cs="宋体"/>
          <w:kern w:val="0"/>
          <w:sz w:val="24"/>
          <w:szCs w:val="24"/>
        </w:rPr>
        <w:t>阜阳第一大药房、阜阳聚缘堂、江苏勤善堂、苏州美福堂</w:t>
      </w:r>
      <w:r>
        <w:rPr>
          <w:rFonts w:ascii="宋体" w:hAnsi="宋体" w:eastAsia="宋体" w:cs="宋体"/>
          <w:kern w:val="0"/>
          <w:sz w:val="24"/>
          <w:szCs w:val="24"/>
        </w:rPr>
        <w:t>等企业建立长期合作机制，每年定期举行实习就业洽谈会。</w:t>
      </w:r>
      <w:r>
        <w:rPr>
          <w:rFonts w:ascii="宋体" w:hAnsi="宋体" w:eastAsia="宋体" w:cs="宋体"/>
          <w:kern w:val="0"/>
          <w:sz w:val="24"/>
          <w:szCs w:val="24"/>
        </w:rPr>
        <w:br w:type="textWrapping"/>
      </w:r>
      <w:r>
        <w:rPr>
          <w:rFonts w:ascii="宋体" w:hAnsi="宋体" w:eastAsia="宋体" w:cs="宋体"/>
          <w:kern w:val="0"/>
          <w:sz w:val="24"/>
          <w:szCs w:val="24"/>
        </w:rPr>
        <w:t>4.2.</w:t>
      </w:r>
      <w:r>
        <w:rPr>
          <w:rFonts w:hint="eastAsia" w:ascii="宋体" w:hAnsi="宋体" w:eastAsia="宋体" w:cs="宋体"/>
          <w:kern w:val="0"/>
          <w:sz w:val="24"/>
          <w:szCs w:val="24"/>
        </w:rPr>
        <w:t>2</w:t>
      </w:r>
      <w:r>
        <w:rPr>
          <w:rFonts w:ascii="宋体" w:hAnsi="宋体" w:eastAsia="宋体" w:cs="宋体"/>
          <w:kern w:val="0"/>
          <w:sz w:val="24"/>
          <w:szCs w:val="24"/>
        </w:rPr>
        <w:t>通过校企合作，完善我校“双师型”教师队伍建设。选派青年专业教师到企业实践学习，从企业引进专业技术人员作兼职教师。有效地促进了学校教师向“双师型”的转化。</w:t>
      </w:r>
      <w:r>
        <w:rPr>
          <w:rFonts w:ascii="宋体" w:hAnsi="宋体" w:eastAsia="宋体" w:cs="宋体"/>
          <w:kern w:val="0"/>
          <w:sz w:val="24"/>
          <w:szCs w:val="24"/>
        </w:rPr>
        <w:br w:type="textWrapping"/>
      </w:r>
      <w:r>
        <w:rPr>
          <w:rFonts w:ascii="宋体" w:hAnsi="宋体" w:eastAsia="宋体" w:cs="宋体"/>
          <w:kern w:val="0"/>
          <w:sz w:val="24"/>
          <w:szCs w:val="24"/>
        </w:rPr>
        <w:t>4.2.</w:t>
      </w:r>
      <w:r>
        <w:rPr>
          <w:rFonts w:hint="eastAsia" w:ascii="宋体" w:hAnsi="宋体" w:eastAsia="宋体" w:cs="宋体"/>
          <w:kern w:val="0"/>
          <w:sz w:val="24"/>
          <w:szCs w:val="24"/>
        </w:rPr>
        <w:t>3</w:t>
      </w:r>
      <w:r>
        <w:rPr>
          <w:rFonts w:ascii="宋体" w:hAnsi="宋体" w:eastAsia="宋体" w:cs="宋体"/>
          <w:kern w:val="0"/>
          <w:sz w:val="24"/>
          <w:szCs w:val="24"/>
        </w:rPr>
        <w:t>通过企业行业标准，指导校内实训基地建设。通过企业的行业标准来建设校内实训基地。</w:t>
      </w:r>
      <w:r>
        <w:rPr>
          <w:rFonts w:ascii="宋体" w:hAnsi="宋体" w:eastAsia="宋体" w:cs="宋体"/>
          <w:kern w:val="0"/>
          <w:sz w:val="24"/>
          <w:szCs w:val="24"/>
        </w:rPr>
        <w:br w:type="textWrapping"/>
      </w:r>
      <w:r>
        <w:rPr>
          <w:rFonts w:ascii="宋体" w:hAnsi="宋体" w:eastAsia="宋体" w:cs="宋体"/>
          <w:kern w:val="0"/>
          <w:sz w:val="24"/>
          <w:szCs w:val="24"/>
        </w:rPr>
        <w:t>4.3集团化办学情况。为贯彻落实《国务院关于加快发展现代职业教育的决定》（国发[2014]19号）文件中，关于“鼓励多元化主体组建职业教育集团”的精神，结合我校招生困难的现状，我校</w:t>
      </w:r>
      <w:r>
        <w:rPr>
          <w:rFonts w:hint="eastAsia" w:ascii="宋体" w:hAnsi="宋体" w:eastAsia="宋体" w:cs="宋体"/>
          <w:kern w:val="0"/>
          <w:sz w:val="24"/>
          <w:szCs w:val="24"/>
        </w:rPr>
        <w:t>正</w:t>
      </w:r>
      <w:r>
        <w:rPr>
          <w:rFonts w:ascii="宋体" w:hAnsi="宋体" w:eastAsia="宋体" w:cs="宋体"/>
          <w:kern w:val="0"/>
          <w:sz w:val="24"/>
          <w:szCs w:val="24"/>
        </w:rPr>
        <w:t>大胆尝试</w:t>
      </w:r>
      <w:r>
        <w:rPr>
          <w:rFonts w:hint="eastAsia" w:ascii="宋体" w:hAnsi="宋体" w:eastAsia="宋体" w:cs="宋体"/>
          <w:kern w:val="0"/>
          <w:sz w:val="24"/>
          <w:szCs w:val="24"/>
        </w:rPr>
        <w:t>与企业集团办学事宜。</w:t>
      </w:r>
    </w:p>
    <w:p>
      <w:pPr>
        <w:rPr>
          <w:rFonts w:ascii="宋体" w:hAnsi="宋体" w:eastAsia="宋体" w:cs="宋体"/>
          <w:kern w:val="0"/>
          <w:sz w:val="24"/>
          <w:szCs w:val="24"/>
        </w:rPr>
      </w:pPr>
      <w:r>
        <w:rPr>
          <w:rFonts w:ascii="宋体" w:hAnsi="宋体" w:eastAsia="宋体" w:cs="宋体"/>
          <w:kern w:val="0"/>
          <w:sz w:val="24"/>
          <w:szCs w:val="24"/>
        </w:rPr>
        <w:t>5.社会贡献</w:t>
      </w:r>
      <w:r>
        <w:rPr>
          <w:rFonts w:ascii="宋体" w:hAnsi="宋体" w:eastAsia="宋体" w:cs="宋体"/>
          <w:kern w:val="0"/>
          <w:sz w:val="24"/>
          <w:szCs w:val="24"/>
        </w:rPr>
        <w:br w:type="textWrapping"/>
      </w:r>
      <w:r>
        <w:rPr>
          <w:rFonts w:ascii="宋体" w:hAnsi="宋体" w:eastAsia="宋体" w:cs="宋体"/>
          <w:kern w:val="0"/>
          <w:sz w:val="24"/>
          <w:szCs w:val="24"/>
        </w:rPr>
        <w:t>5.1技术技能人才培养。</w:t>
      </w:r>
      <w:r>
        <w:rPr>
          <w:rFonts w:ascii="宋体" w:hAnsi="宋体" w:eastAsia="宋体" w:cs="宋体"/>
          <w:kern w:val="0"/>
          <w:sz w:val="24"/>
          <w:szCs w:val="24"/>
        </w:rPr>
        <w:br w:type="textWrapping"/>
      </w:r>
      <w:r>
        <w:rPr>
          <w:rFonts w:ascii="宋体" w:hAnsi="宋体" w:eastAsia="宋体" w:cs="宋体"/>
          <w:kern w:val="0"/>
          <w:sz w:val="24"/>
          <w:szCs w:val="24"/>
        </w:rPr>
        <w:t>学校以培养专业技术应用型人才为目标，文化知识和专业技能并举, 职业资格证书与毕业证书双证并重。学校积极服务地方经济，</w:t>
      </w:r>
      <w:r>
        <w:rPr>
          <w:rFonts w:hint="eastAsia" w:ascii="宋体" w:hAnsi="宋体" w:eastAsia="宋体" w:cs="宋体"/>
          <w:kern w:val="0"/>
          <w:sz w:val="24"/>
          <w:szCs w:val="24"/>
        </w:rPr>
        <w:t>每年</w:t>
      </w:r>
      <w:r>
        <w:rPr>
          <w:rFonts w:ascii="宋体" w:hAnsi="宋体" w:eastAsia="宋体" w:cs="宋体"/>
          <w:kern w:val="0"/>
          <w:sz w:val="24"/>
          <w:szCs w:val="24"/>
        </w:rPr>
        <w:t>为社会输送</w:t>
      </w:r>
      <w:r>
        <w:rPr>
          <w:rFonts w:hint="eastAsia" w:ascii="宋体" w:hAnsi="宋体" w:eastAsia="宋体" w:cs="宋体"/>
          <w:kern w:val="0"/>
          <w:sz w:val="24"/>
          <w:szCs w:val="24"/>
        </w:rPr>
        <w:t>几百名</w:t>
      </w:r>
      <w:r>
        <w:rPr>
          <w:rFonts w:ascii="宋体" w:hAnsi="宋体" w:eastAsia="宋体" w:cs="宋体"/>
          <w:kern w:val="0"/>
          <w:sz w:val="24"/>
          <w:szCs w:val="24"/>
        </w:rPr>
        <w:t>优秀毕业生，学生良好的职业素养、扎实的专业技能受到企业欢迎。一是加大课堂实践教学比重。把技能训练目标落实到每一章节。实现以技能促理论，以理论强技能。二是发挥二课堂作用。各种兴趣小组为部分有爱好有特长的学生提供快乐学习的场所和展示自我、获得自信的平台，丰富学生校园生活。</w:t>
      </w:r>
      <w:r>
        <w:rPr>
          <w:rFonts w:ascii="宋体" w:hAnsi="宋体" w:eastAsia="宋体" w:cs="宋体"/>
          <w:kern w:val="0"/>
          <w:sz w:val="24"/>
          <w:szCs w:val="24"/>
        </w:rPr>
        <w:br w:type="textWrapping"/>
      </w:r>
      <w:r>
        <w:rPr>
          <w:rFonts w:ascii="宋体" w:hAnsi="宋体" w:eastAsia="宋体" w:cs="宋体"/>
          <w:kern w:val="0"/>
          <w:sz w:val="24"/>
          <w:szCs w:val="24"/>
        </w:rPr>
        <w:t>5.2社会服务。</w:t>
      </w:r>
      <w:r>
        <w:rPr>
          <w:rFonts w:ascii="宋体" w:hAnsi="宋体" w:eastAsia="宋体" w:cs="宋体"/>
          <w:kern w:val="0"/>
          <w:sz w:val="24"/>
          <w:szCs w:val="24"/>
        </w:rPr>
        <w:br w:type="textWrapping"/>
      </w:r>
      <w:r>
        <w:rPr>
          <w:rFonts w:ascii="宋体" w:hAnsi="宋体" w:eastAsia="宋体" w:cs="宋体"/>
          <w:kern w:val="0"/>
          <w:sz w:val="24"/>
          <w:szCs w:val="24"/>
        </w:rPr>
        <w:t>5.2.1服务社会。学校建有社会培训、技能培训等教学支持服务团队，积极面向企业和社会开展多种形式的职业培训，在师资、场地、设施设备等各个方面对社会各界提供支持服务。2018年共培训1</w:t>
      </w:r>
      <w:r>
        <w:rPr>
          <w:rFonts w:hint="eastAsia" w:ascii="宋体" w:hAnsi="宋体" w:eastAsia="宋体" w:cs="宋体"/>
          <w:kern w:val="0"/>
          <w:sz w:val="24"/>
          <w:szCs w:val="24"/>
        </w:rPr>
        <w:t>318</w:t>
      </w:r>
      <w:r>
        <w:rPr>
          <w:rFonts w:ascii="宋体" w:hAnsi="宋体" w:eastAsia="宋体" w:cs="宋体"/>
          <w:kern w:val="0"/>
          <w:sz w:val="24"/>
          <w:szCs w:val="24"/>
        </w:rPr>
        <w:t>人。</w:t>
      </w:r>
      <w:r>
        <w:rPr>
          <w:rFonts w:ascii="宋体" w:hAnsi="宋体" w:eastAsia="宋体" w:cs="宋体"/>
          <w:kern w:val="0"/>
          <w:sz w:val="24"/>
          <w:szCs w:val="24"/>
        </w:rPr>
        <w:br w:type="textWrapping"/>
      </w:r>
      <w:r>
        <w:rPr>
          <w:rFonts w:ascii="宋体" w:hAnsi="宋体" w:eastAsia="宋体" w:cs="宋体"/>
          <w:kern w:val="0"/>
          <w:sz w:val="24"/>
          <w:szCs w:val="24"/>
        </w:rPr>
        <w:t>5.2.2服务社区。学校重视做好社区的服务工作，成立专门的组织，经常面向社区开展义务教育、帮扶活动，学校资源体育设施、计算机房、多功能会堂主动向周边社区和社会开放，为文明创建做好有力的助手。</w:t>
      </w:r>
      <w:r>
        <w:rPr>
          <w:rFonts w:ascii="宋体" w:hAnsi="宋体" w:eastAsia="宋体" w:cs="宋体"/>
          <w:kern w:val="0"/>
          <w:sz w:val="24"/>
          <w:szCs w:val="24"/>
        </w:rPr>
        <w:br w:type="textWrapping"/>
      </w:r>
      <w:r>
        <w:rPr>
          <w:rFonts w:ascii="宋体" w:hAnsi="宋体" w:eastAsia="宋体" w:cs="宋体"/>
          <w:kern w:val="0"/>
          <w:sz w:val="24"/>
          <w:szCs w:val="24"/>
        </w:rPr>
        <w:t>5.2.3学生志愿服务活动。学生志愿者活动深受广大学生的喜爱，这是中职生最好的锻炼机会和实践舞台，开阔眼界，奉献他人，服务社会。学校积极鼓励与支持志愿者协会的发展壮大，积极倡导并组织学生开展各项具有教育意义的活动，了解社会、实践社会、学会服务，懂得奉献，塑造优秀的个人品质。学校现有志愿者</w:t>
      </w:r>
      <w:r>
        <w:rPr>
          <w:rFonts w:hint="eastAsia" w:ascii="宋体" w:hAnsi="宋体" w:eastAsia="宋体" w:cs="宋体"/>
          <w:kern w:val="0"/>
          <w:sz w:val="24"/>
          <w:szCs w:val="24"/>
        </w:rPr>
        <w:t>30</w:t>
      </w:r>
      <w:r>
        <w:rPr>
          <w:rFonts w:ascii="宋体" w:hAnsi="宋体" w:eastAsia="宋体" w:cs="宋体"/>
          <w:kern w:val="0"/>
          <w:sz w:val="24"/>
          <w:szCs w:val="24"/>
        </w:rPr>
        <w:t>名，学校团委组织青年志愿者经常开展争创全国文明城市、文明交通疏导、助残等志愿服务活动。学校志愿者工作认真负责、服务到位，深受社会各界人士和学校领导的肯定与认可。</w:t>
      </w:r>
      <w:r>
        <w:rPr>
          <w:rFonts w:ascii="宋体" w:hAnsi="宋体" w:eastAsia="宋体" w:cs="宋体"/>
          <w:kern w:val="0"/>
          <w:sz w:val="24"/>
          <w:szCs w:val="24"/>
        </w:rPr>
        <w:br w:type="textWrapping"/>
      </w:r>
      <w:r>
        <w:rPr>
          <w:rFonts w:ascii="宋体" w:hAnsi="宋体" w:eastAsia="宋体" w:cs="宋体"/>
          <w:kern w:val="0"/>
          <w:sz w:val="24"/>
          <w:szCs w:val="24"/>
        </w:rPr>
        <w:t>5.3对口支援。</w:t>
      </w:r>
      <w:r>
        <w:rPr>
          <w:rFonts w:ascii="宋体" w:hAnsi="宋体" w:eastAsia="宋体" w:cs="宋体"/>
          <w:kern w:val="0"/>
          <w:sz w:val="24"/>
          <w:szCs w:val="24"/>
        </w:rPr>
        <w:br w:type="textWrapping"/>
      </w:r>
      <w:r>
        <w:rPr>
          <w:rFonts w:ascii="宋体" w:hAnsi="宋体" w:eastAsia="宋体" w:cs="宋体"/>
          <w:kern w:val="0"/>
          <w:sz w:val="24"/>
          <w:szCs w:val="24"/>
        </w:rPr>
        <w:t>根据市扶贫办和市教育局安排，我校将</w:t>
      </w:r>
      <w:r>
        <w:rPr>
          <w:rFonts w:hint="eastAsia" w:ascii="宋体" w:hAnsi="宋体" w:eastAsia="宋体" w:cs="宋体"/>
          <w:kern w:val="0"/>
          <w:sz w:val="24"/>
          <w:szCs w:val="24"/>
        </w:rPr>
        <w:t>大许</w:t>
      </w:r>
      <w:r>
        <w:rPr>
          <w:rFonts w:ascii="宋体" w:hAnsi="宋体" w:eastAsia="宋体" w:cs="宋体"/>
          <w:kern w:val="0"/>
          <w:sz w:val="24"/>
          <w:szCs w:val="24"/>
        </w:rPr>
        <w:t>村作为扶贫点，并先后派</w:t>
      </w:r>
      <w:r>
        <w:rPr>
          <w:rFonts w:hint="eastAsia" w:ascii="宋体" w:hAnsi="宋体" w:eastAsia="宋体" w:cs="宋体"/>
          <w:kern w:val="0"/>
          <w:sz w:val="24"/>
          <w:szCs w:val="24"/>
        </w:rPr>
        <w:t>二</w:t>
      </w:r>
      <w:r>
        <w:rPr>
          <w:rFonts w:ascii="宋体" w:hAnsi="宋体" w:eastAsia="宋体" w:cs="宋体"/>
          <w:kern w:val="0"/>
          <w:sz w:val="24"/>
          <w:szCs w:val="24"/>
        </w:rPr>
        <w:t>位党员干部到村驻点扶贫，目前有两位干部长期驻村。学校制定了精准扶贫方案，实行学校包村、干部包户，校领导和全体中层干部结对扶贫。</w:t>
      </w:r>
      <w:r>
        <w:rPr>
          <w:rFonts w:ascii="宋体" w:hAnsi="宋体" w:eastAsia="宋体" w:cs="宋体"/>
          <w:kern w:val="0"/>
          <w:sz w:val="24"/>
          <w:szCs w:val="24"/>
        </w:rPr>
        <w:br w:type="textWrapping"/>
      </w:r>
      <w:r>
        <w:rPr>
          <w:rFonts w:ascii="宋体" w:hAnsi="宋体" w:eastAsia="宋体" w:cs="宋体"/>
          <w:kern w:val="0"/>
          <w:sz w:val="24"/>
          <w:szCs w:val="24"/>
        </w:rPr>
        <w:t>一是建立月走访制度，学校党员干部每月定期到结对帮扶户普及扶贫知识、宣传党的扶贫惠民政策、分析贫困原因、提供扶贫措施，为贫困户提供精神扶贫。</w:t>
      </w:r>
      <w:r>
        <w:rPr>
          <w:rFonts w:ascii="宋体" w:hAnsi="宋体" w:eastAsia="宋体" w:cs="宋体"/>
          <w:kern w:val="0"/>
          <w:sz w:val="24"/>
          <w:szCs w:val="24"/>
        </w:rPr>
        <w:br w:type="textWrapping"/>
      </w:r>
      <w:r>
        <w:rPr>
          <w:rFonts w:hint="eastAsia" w:ascii="宋体" w:hAnsi="宋体" w:eastAsia="宋体" w:cs="宋体"/>
          <w:kern w:val="0"/>
          <w:sz w:val="24"/>
          <w:szCs w:val="24"/>
        </w:rPr>
        <w:t>二</w:t>
      </w:r>
      <w:r>
        <w:rPr>
          <w:rFonts w:ascii="宋体" w:hAnsi="宋体" w:eastAsia="宋体" w:cs="宋体"/>
          <w:kern w:val="0"/>
          <w:sz w:val="24"/>
          <w:szCs w:val="24"/>
        </w:rPr>
        <w:t>是开展技能帮扶，为</w:t>
      </w:r>
      <w:r>
        <w:rPr>
          <w:rFonts w:hint="eastAsia" w:ascii="宋体" w:hAnsi="宋体" w:eastAsia="宋体" w:cs="宋体"/>
          <w:kern w:val="0"/>
          <w:sz w:val="24"/>
          <w:szCs w:val="24"/>
        </w:rPr>
        <w:t>大许</w:t>
      </w:r>
      <w:r>
        <w:rPr>
          <w:rFonts w:ascii="宋体" w:hAnsi="宋体" w:eastAsia="宋体" w:cs="宋体"/>
          <w:kern w:val="0"/>
          <w:sz w:val="24"/>
          <w:szCs w:val="24"/>
        </w:rPr>
        <w:t>村村民免费提供计算机、电子商务、汽车维修等技能培训。</w:t>
      </w:r>
      <w:r>
        <w:rPr>
          <w:rFonts w:ascii="宋体" w:hAnsi="宋体" w:eastAsia="宋体" w:cs="宋体"/>
          <w:kern w:val="0"/>
          <w:sz w:val="24"/>
          <w:szCs w:val="24"/>
        </w:rPr>
        <w:br w:type="textWrapping"/>
      </w:r>
      <w:r>
        <w:rPr>
          <w:rFonts w:hint="eastAsia" w:ascii="宋体" w:hAnsi="宋体" w:eastAsia="宋体" w:cs="宋体"/>
          <w:kern w:val="0"/>
          <w:sz w:val="24"/>
          <w:szCs w:val="24"/>
        </w:rPr>
        <w:t>三</w:t>
      </w:r>
      <w:r>
        <w:rPr>
          <w:rFonts w:ascii="宋体" w:hAnsi="宋体" w:eastAsia="宋体" w:cs="宋体"/>
          <w:kern w:val="0"/>
          <w:sz w:val="24"/>
          <w:szCs w:val="24"/>
        </w:rPr>
        <w:t>是开展教育帮扶。凡是</w:t>
      </w:r>
      <w:r>
        <w:rPr>
          <w:rFonts w:hint="eastAsia" w:ascii="宋体" w:hAnsi="宋体" w:eastAsia="宋体" w:cs="宋体"/>
          <w:kern w:val="0"/>
          <w:sz w:val="24"/>
          <w:szCs w:val="24"/>
        </w:rPr>
        <w:t>大许</w:t>
      </w:r>
      <w:r>
        <w:rPr>
          <w:rFonts w:ascii="宋体" w:hAnsi="宋体" w:eastAsia="宋体" w:cs="宋体"/>
          <w:kern w:val="0"/>
          <w:sz w:val="24"/>
          <w:szCs w:val="24"/>
        </w:rPr>
        <w:t>村村民子女到我校就读，学费、书本费和住宿费全免。</w:t>
      </w:r>
      <w:r>
        <w:rPr>
          <w:rFonts w:ascii="宋体" w:hAnsi="宋体" w:eastAsia="宋体" w:cs="宋体"/>
          <w:kern w:val="0"/>
          <w:sz w:val="24"/>
          <w:szCs w:val="24"/>
        </w:rPr>
        <w:br w:type="textWrapping"/>
      </w:r>
      <w:r>
        <w:rPr>
          <w:rFonts w:ascii="宋体" w:hAnsi="宋体" w:eastAsia="宋体" w:cs="宋体"/>
          <w:kern w:val="0"/>
          <w:sz w:val="24"/>
          <w:szCs w:val="24"/>
        </w:rPr>
        <w:t>6.举办者履责</w:t>
      </w:r>
      <w:r>
        <w:rPr>
          <w:rFonts w:ascii="宋体" w:hAnsi="宋体" w:eastAsia="宋体" w:cs="宋体"/>
          <w:kern w:val="0"/>
          <w:sz w:val="24"/>
          <w:szCs w:val="24"/>
        </w:rPr>
        <w:br w:type="textWrapping"/>
      </w:r>
      <w:r>
        <w:rPr>
          <w:rFonts w:ascii="宋体" w:hAnsi="宋体" w:eastAsia="宋体" w:cs="宋体"/>
          <w:kern w:val="0"/>
          <w:sz w:val="24"/>
          <w:szCs w:val="24"/>
        </w:rPr>
        <w:t>6.1经费。</w:t>
      </w:r>
      <w:r>
        <w:rPr>
          <w:rFonts w:ascii="宋体" w:hAnsi="宋体" w:eastAsia="宋体" w:cs="宋体"/>
          <w:kern w:val="0"/>
          <w:sz w:val="24"/>
          <w:szCs w:val="24"/>
        </w:rPr>
        <w:br w:type="textWrapping"/>
      </w:r>
      <w:r>
        <w:rPr>
          <w:rFonts w:ascii="宋体" w:hAnsi="宋体" w:eastAsia="宋体" w:cs="宋体"/>
          <w:kern w:val="0"/>
          <w:sz w:val="24"/>
          <w:szCs w:val="24"/>
        </w:rPr>
        <w:t>阜阳市委市政府高度重视职业教育发展，将职业教育经费纳入市财政保障范围，各项政策性财政拨款及时到位，统一管理，杜绝挤占、挪用或截留经费等现象发生，保证学校正常运转以及对学校的投入力度。</w:t>
      </w:r>
    </w:p>
    <w:p>
      <w:pPr>
        <w:rPr>
          <w:rFonts w:ascii="宋体" w:hAnsi="宋体" w:eastAsia="宋体" w:cs="宋体"/>
          <w:kern w:val="0"/>
          <w:sz w:val="24"/>
          <w:szCs w:val="24"/>
        </w:rPr>
      </w:pPr>
      <w:r>
        <w:rPr>
          <w:rFonts w:ascii="宋体" w:hAnsi="宋体" w:eastAsia="宋体" w:cs="宋体"/>
          <w:kern w:val="0"/>
          <w:sz w:val="24"/>
          <w:szCs w:val="24"/>
        </w:rPr>
        <w:t>6.2政策措施</w:t>
      </w:r>
      <w:r>
        <w:rPr>
          <w:rFonts w:ascii="宋体" w:hAnsi="宋体" w:eastAsia="宋体" w:cs="宋体"/>
          <w:kern w:val="0"/>
          <w:sz w:val="24"/>
          <w:szCs w:val="24"/>
        </w:rPr>
        <w:br w:type="textWrapping"/>
      </w:r>
      <w:r>
        <w:rPr>
          <w:rFonts w:ascii="宋体" w:hAnsi="宋体" w:eastAsia="宋体" w:cs="宋体"/>
          <w:kern w:val="0"/>
          <w:sz w:val="24"/>
          <w:szCs w:val="24"/>
        </w:rPr>
        <w:t>6.2.1办学自主权。学校在办学过程中有较大的自主权，上级行政部门赋予学校充分的自主权，学校在人权物方面充分享有自主支配的权力。通过给予学校自主招生、自主制定人才培养方案等措施，使学校的办学灵活性、自主性大大提升。</w:t>
      </w:r>
      <w:r>
        <w:rPr>
          <w:rFonts w:ascii="宋体" w:hAnsi="宋体" w:eastAsia="宋体" w:cs="宋体"/>
          <w:kern w:val="0"/>
          <w:sz w:val="24"/>
          <w:szCs w:val="24"/>
        </w:rPr>
        <w:br w:type="textWrapping"/>
      </w:r>
      <w:r>
        <w:rPr>
          <w:rFonts w:ascii="宋体" w:hAnsi="宋体" w:eastAsia="宋体" w:cs="宋体"/>
          <w:kern w:val="0"/>
          <w:sz w:val="24"/>
          <w:szCs w:val="24"/>
        </w:rPr>
        <w:t>6.2.</w:t>
      </w:r>
      <w:r>
        <w:rPr>
          <w:rFonts w:hint="eastAsia" w:ascii="宋体" w:hAnsi="宋体" w:eastAsia="宋体" w:cs="宋体"/>
          <w:kern w:val="0"/>
          <w:sz w:val="24"/>
          <w:szCs w:val="24"/>
        </w:rPr>
        <w:t>2</w:t>
      </w:r>
      <w:r>
        <w:rPr>
          <w:rFonts w:ascii="宋体" w:hAnsi="宋体" w:eastAsia="宋体" w:cs="宋体"/>
          <w:kern w:val="0"/>
          <w:sz w:val="24"/>
          <w:szCs w:val="24"/>
        </w:rPr>
        <w:t>出台提升学校办学水平的政策和制度。阜阳市政府将职业教育纳入全市经济社会发展规划，纳入政府年度重点工作项目，明确发展定位，加强督查考核，形成了“政府主导、行业指导，部门参与、齐抓共管”的良好工作格局。统筹招生工作，推动职、普高招生比例合理化。严格落实普职招生1:1比例要求；政府出台促进区域职业教育发展办法，提高企业参与职业教育的积极性；优先满足职业学校中与地方产业紧密吻合的骨干、示范专业紧缺教师的编制。</w:t>
      </w:r>
    </w:p>
    <w:p>
      <w:pPr>
        <w:jc w:val="left"/>
        <w:rPr>
          <w:rFonts w:ascii="宋体" w:hAnsi="宋体" w:eastAsia="宋体" w:cs="仿宋"/>
          <w:sz w:val="24"/>
          <w:szCs w:val="24"/>
          <w:shd w:val="clear" w:color="auto" w:fill="FFFFFF"/>
        </w:rPr>
      </w:pPr>
      <w:r>
        <w:rPr>
          <w:rFonts w:ascii="宋体" w:hAnsi="宋体" w:eastAsia="宋体" w:cs="宋体"/>
          <w:kern w:val="0"/>
          <w:sz w:val="24"/>
          <w:szCs w:val="24"/>
        </w:rPr>
        <w:t>7.特色创新</w:t>
      </w:r>
      <w:r>
        <w:rPr>
          <w:rFonts w:ascii="宋体" w:hAnsi="宋体" w:eastAsia="宋体" w:cs="宋体"/>
          <w:kern w:val="0"/>
          <w:sz w:val="24"/>
          <w:szCs w:val="24"/>
        </w:rPr>
        <w:br w:type="textWrapping"/>
      </w:r>
      <w:r>
        <w:rPr>
          <w:rFonts w:hint="eastAsia" w:ascii="宋体" w:hAnsi="宋体" w:eastAsia="宋体" w:cs="仿宋"/>
          <w:sz w:val="24"/>
          <w:szCs w:val="24"/>
          <w:lang w:bidi="ar"/>
        </w:rPr>
        <w:t>阜阳医药管理学校</w:t>
      </w:r>
      <w:r>
        <w:rPr>
          <w:rFonts w:hint="eastAsia" w:ascii="宋体" w:hAnsi="宋体" w:eastAsia="宋体" w:cs="宋体"/>
          <w:sz w:val="24"/>
          <w:szCs w:val="24"/>
          <w:lang w:bidi="ar"/>
        </w:rPr>
        <w:t>技能扶贫经验交流材料</w:t>
      </w:r>
      <w:r>
        <w:rPr>
          <w:rFonts w:hint="eastAsia" w:ascii="宋体" w:hAnsi="宋体" w:eastAsia="宋体" w:cs="仿宋"/>
          <w:sz w:val="24"/>
          <w:szCs w:val="24"/>
          <w:shd w:val="clear" w:color="auto" w:fill="FFFFFF"/>
        </w:rPr>
        <w:t>：阜阳市人口1024万，是我省扶贫攻坚主战场。现有阜南、临泉、颍上、颍东4个国家扶贫重点县区，颍州、颍泉、太和、界首4个省扶贫重点县市区，是全省贫困人口最多、减贫任务最重的市。</w:t>
      </w:r>
      <w:r>
        <w:rPr>
          <w:rFonts w:hint="eastAsia" w:ascii="宋体" w:hAnsi="宋体" w:eastAsia="宋体" w:cs="仿宋"/>
          <w:sz w:val="24"/>
          <w:szCs w:val="24"/>
          <w:lang w:bidi="ar"/>
        </w:rPr>
        <w:t>近年来，阜阳医药管理学校全面贯彻落实习近平总书记扶贫开发重要讲话精神和省人社厅关于脱贫攻坚重大决策部署，把脱贫攻坚工作作为头等大事来抓，</w:t>
      </w:r>
      <w:r>
        <w:rPr>
          <w:rFonts w:hint="eastAsia" w:ascii="宋体" w:hAnsi="宋体" w:eastAsia="宋体" w:cs="仿宋_GB2312"/>
          <w:sz w:val="24"/>
          <w:szCs w:val="24"/>
          <w:lang w:bidi="ar"/>
        </w:rPr>
        <w:t>开展技能精准扶贫，助力脱贫攻坚。</w:t>
      </w:r>
    </w:p>
    <w:p>
      <w:pPr>
        <w:spacing w:line="360" w:lineRule="auto"/>
        <w:ind w:firstLine="480" w:firstLineChars="200"/>
        <w:jc w:val="left"/>
        <w:rPr>
          <w:rFonts w:ascii="宋体" w:hAnsi="宋体" w:eastAsia="宋体" w:cs="仿宋_GB2312"/>
          <w:sz w:val="24"/>
          <w:szCs w:val="24"/>
          <w:shd w:val="clear" w:color="auto" w:fill="FFFFFF"/>
        </w:rPr>
      </w:pPr>
      <w:r>
        <w:rPr>
          <w:rFonts w:hint="eastAsia" w:ascii="宋体" w:hAnsi="宋体" w:eastAsia="宋体" w:cs="黑体"/>
          <w:sz w:val="24"/>
          <w:szCs w:val="24"/>
          <w:lang w:bidi="ar"/>
        </w:rPr>
        <w:t>培技扶志、培养贫困学子成为高素质技能人才</w:t>
      </w:r>
      <w:r>
        <w:rPr>
          <w:rFonts w:hint="eastAsia" w:ascii="宋体" w:hAnsi="宋体" w:eastAsia="宋体" w:cs="宋体"/>
          <w:sz w:val="24"/>
          <w:szCs w:val="24"/>
        </w:rPr>
        <w:t>。</w:t>
      </w:r>
      <w:r>
        <w:rPr>
          <w:rFonts w:hint="eastAsia" w:ascii="宋体" w:hAnsi="宋体" w:eastAsia="宋体" w:cs="仿宋_GB2312"/>
          <w:sz w:val="24"/>
          <w:szCs w:val="24"/>
          <w:shd w:val="clear" w:color="auto" w:fill="FFFFFF"/>
        </w:rPr>
        <w:t>习近平总书记指出：“治贫先治愚。把贫困地区孩子培养出来，这才是根本的扶贫之策。”</w:t>
      </w:r>
      <w:r>
        <w:rPr>
          <w:rFonts w:hint="eastAsia" w:ascii="宋体" w:hAnsi="宋体" w:eastAsia="宋体" w:cs="仿宋"/>
          <w:sz w:val="24"/>
          <w:szCs w:val="24"/>
          <w:lang w:bidi="ar"/>
        </w:rPr>
        <w:t xml:space="preserve"> 阜阳医药管理学校</w:t>
      </w:r>
      <w:r>
        <w:rPr>
          <w:rFonts w:hint="eastAsia" w:ascii="宋体" w:hAnsi="宋体" w:eastAsia="宋体" w:cs="仿宋_GB2312"/>
          <w:sz w:val="24"/>
          <w:szCs w:val="24"/>
          <w:shd w:val="clear" w:color="auto" w:fill="FFFFFF"/>
        </w:rPr>
        <w:t>认真落实省人社厅关于精准脱贫的战略部署，扎实推进就业脱贫工程。</w:t>
      </w:r>
      <w:r>
        <w:rPr>
          <w:rFonts w:hint="eastAsia" w:ascii="宋体" w:hAnsi="宋体" w:eastAsia="宋体" w:cs="仿宋_GB2312"/>
          <w:bCs/>
          <w:sz w:val="24"/>
          <w:szCs w:val="24"/>
          <w:shd w:val="clear" w:color="auto" w:fill="FFFFFF"/>
        </w:rPr>
        <w:t>一是</w:t>
      </w:r>
      <w:r>
        <w:rPr>
          <w:rFonts w:hint="eastAsia" w:ascii="宋体" w:hAnsi="宋体" w:eastAsia="宋体" w:cs="仿宋_GB2312"/>
          <w:sz w:val="24"/>
          <w:szCs w:val="24"/>
          <w:shd w:val="clear" w:color="auto" w:fill="FFFFFF"/>
        </w:rPr>
        <w:t>积极招收培养建档立卡贫困家庭学生，对建档立卡贫困家庭学子实行“四包两免一补两稳”系列优惠政策，包吃、包住、包学技能、包就业，免学费、免学杂费，每学年每生再补贴2000元生活费，确保稳定就业、稳定收入；目前共招收颍上、阜南、临泉、利辛等4个国家级贫困县在校学生366人，其中贫困建档立卡学生92人，2018年学校拿出专门资金发放交通、伙食补贴92000元，</w:t>
      </w:r>
      <w:r>
        <w:rPr>
          <w:rFonts w:hint="eastAsia" w:ascii="宋体" w:hAnsi="宋体" w:eastAsia="宋体" w:cs="仿宋"/>
          <w:sz w:val="24"/>
          <w:szCs w:val="24"/>
          <w:lang w:bidi="ar"/>
        </w:rPr>
        <w:t>努力推动实现“就业一人、脱贫一户”的技能脱贫目标</w:t>
      </w:r>
      <w:r>
        <w:rPr>
          <w:rFonts w:hint="eastAsia" w:ascii="宋体" w:hAnsi="宋体" w:eastAsia="宋体" w:cs="仿宋_GB2312"/>
          <w:sz w:val="24"/>
          <w:szCs w:val="24"/>
          <w:shd w:val="clear" w:color="auto" w:fill="FFFFFF"/>
        </w:rPr>
        <w:t>；</w:t>
      </w:r>
      <w:r>
        <w:rPr>
          <w:rFonts w:hint="eastAsia" w:ascii="宋体" w:hAnsi="宋体" w:eastAsia="宋体" w:cs="仿宋_GB2312"/>
          <w:bCs/>
          <w:sz w:val="24"/>
          <w:szCs w:val="24"/>
          <w:shd w:val="clear" w:color="auto" w:fill="FFFFFF"/>
        </w:rPr>
        <w:t>二是</w:t>
      </w:r>
      <w:r>
        <w:rPr>
          <w:rFonts w:hint="eastAsia" w:ascii="宋体" w:hAnsi="宋体" w:eastAsia="宋体" w:cs="仿宋_GB2312"/>
          <w:sz w:val="24"/>
          <w:szCs w:val="24"/>
          <w:shd w:val="clear" w:color="auto" w:fill="FFFFFF"/>
        </w:rPr>
        <w:t>把国家相关资助政策以及学校人文关怀及时给学生宣传到位，加大对家庭贫困学生的扶持。2018年为家庭困难学生提供35个勤工俭学岗位，每生每天给予50元生活补贴；对40名家庭经济困难学生进行了校内资助，每生每学期给予1000元资助，确保不让一名学生因家庭贫困而失学。</w:t>
      </w:r>
    </w:p>
    <w:p>
      <w:pPr>
        <w:spacing w:before="312" w:beforeLines="100" w:line="560" w:lineRule="exact"/>
        <w:rPr>
          <w:rFonts w:ascii="宋体" w:hAnsi="宋体" w:eastAsia="宋体"/>
          <w:color w:val="000000"/>
          <w:sz w:val="24"/>
          <w:szCs w:val="24"/>
        </w:rPr>
      </w:pPr>
      <w:r>
        <w:rPr>
          <w:rFonts w:ascii="宋体" w:hAnsi="宋体" w:eastAsia="宋体" w:cs="宋体"/>
          <w:kern w:val="0"/>
          <w:sz w:val="24"/>
          <w:szCs w:val="24"/>
        </w:rPr>
        <w:t>8.主要问题和改进措施</w:t>
      </w:r>
      <w:r>
        <w:rPr>
          <w:rFonts w:ascii="宋体" w:hAnsi="宋体" w:eastAsia="宋体" w:cs="宋体"/>
          <w:kern w:val="0"/>
          <w:sz w:val="24"/>
          <w:szCs w:val="24"/>
        </w:rPr>
        <w:br w:type="textWrapping"/>
      </w:r>
      <w:r>
        <w:rPr>
          <w:rFonts w:ascii="宋体" w:hAnsi="宋体" w:eastAsia="宋体" w:cs="宋体"/>
          <w:kern w:val="0"/>
          <w:sz w:val="24"/>
          <w:szCs w:val="24"/>
        </w:rPr>
        <w:t>8.1主要问题。</w:t>
      </w:r>
      <w:r>
        <w:rPr>
          <w:rFonts w:ascii="宋体" w:hAnsi="宋体" w:eastAsia="宋体" w:cs="宋体"/>
          <w:kern w:val="0"/>
          <w:sz w:val="24"/>
          <w:szCs w:val="24"/>
        </w:rPr>
        <w:br w:type="textWrapping"/>
      </w:r>
      <w:r>
        <w:rPr>
          <w:rFonts w:ascii="宋体" w:hAnsi="宋体" w:eastAsia="宋体"/>
          <w:sz w:val="24"/>
          <w:szCs w:val="24"/>
        </w:rPr>
        <w:t>1.</w:t>
      </w:r>
      <w:r>
        <w:rPr>
          <w:rFonts w:ascii="宋体" w:hAnsi="宋体" w:eastAsia="宋体" w:cs="Arial"/>
          <w:color w:val="323232"/>
          <w:sz w:val="24"/>
          <w:szCs w:val="24"/>
        </w:rPr>
        <w:t xml:space="preserve"> </w:t>
      </w:r>
      <w:r>
        <w:rPr>
          <w:rFonts w:hint="eastAsia" w:ascii="宋体" w:hAnsi="宋体" w:eastAsia="宋体" w:cs="Arial"/>
          <w:color w:val="000000"/>
          <w:sz w:val="24"/>
          <w:szCs w:val="24"/>
        </w:rPr>
        <w:t>专任教师数量不足、学生规模扩张导致了生师比较大，</w:t>
      </w:r>
      <w:r>
        <w:rPr>
          <w:rFonts w:hint="eastAsia" w:ascii="宋体" w:hAnsi="宋体" w:eastAsia="宋体"/>
          <w:color w:val="000000"/>
          <w:sz w:val="24"/>
          <w:szCs w:val="24"/>
        </w:rPr>
        <w:t>应扩大教师编制，以适应逐年增加的学生数量。</w:t>
      </w:r>
    </w:p>
    <w:p>
      <w:pPr>
        <w:spacing w:before="312" w:beforeLines="100" w:line="560" w:lineRule="exact"/>
        <w:jc w:val="left"/>
        <w:rPr>
          <w:rFonts w:ascii="宋体" w:hAnsi="宋体" w:eastAsia="宋体" w:cs="Arial"/>
          <w:sz w:val="24"/>
          <w:szCs w:val="24"/>
        </w:rPr>
      </w:pPr>
      <w:r>
        <w:rPr>
          <w:rFonts w:ascii="宋体" w:hAnsi="宋体" w:eastAsia="宋体"/>
          <w:sz w:val="24"/>
          <w:szCs w:val="24"/>
        </w:rPr>
        <w:t>2.</w:t>
      </w:r>
      <w:r>
        <w:rPr>
          <w:rFonts w:ascii="宋体" w:hAnsi="宋体" w:eastAsia="宋体" w:cs="Arial"/>
          <w:sz w:val="24"/>
          <w:szCs w:val="24"/>
        </w:rPr>
        <w:t xml:space="preserve"> </w:t>
      </w:r>
      <w:r>
        <w:rPr>
          <w:rFonts w:hint="eastAsia" w:ascii="宋体" w:hAnsi="宋体" w:eastAsia="宋体" w:cs="Arial"/>
          <w:sz w:val="24"/>
          <w:szCs w:val="24"/>
        </w:rPr>
        <w:t>职业院校教师不仅要具备熟练的动手操作技能和技术应用能力，同时还需要精通专业理论知识，应加强教师的技能水平和理论知识培训，提高教师教学能力。</w:t>
      </w:r>
    </w:p>
    <w:p>
      <w:pPr>
        <w:spacing w:before="312" w:beforeLines="100" w:line="560" w:lineRule="exact"/>
        <w:jc w:val="left"/>
        <w:rPr>
          <w:rFonts w:ascii="宋体" w:hAnsi="宋体" w:eastAsia="宋体" w:cs="Arial"/>
          <w:sz w:val="24"/>
          <w:szCs w:val="24"/>
        </w:rPr>
      </w:pPr>
      <w:r>
        <w:rPr>
          <w:rFonts w:ascii="宋体" w:hAnsi="宋体" w:eastAsia="宋体"/>
          <w:sz w:val="24"/>
          <w:szCs w:val="24"/>
        </w:rPr>
        <w:t>3.</w:t>
      </w:r>
      <w:r>
        <w:rPr>
          <w:rFonts w:ascii="宋体" w:hAnsi="宋体" w:eastAsia="宋体" w:cs="Arial"/>
          <w:sz w:val="24"/>
          <w:szCs w:val="24"/>
        </w:rPr>
        <w:t xml:space="preserve"> </w:t>
      </w:r>
      <w:r>
        <w:rPr>
          <w:rFonts w:hint="eastAsia" w:ascii="宋体" w:hAnsi="宋体" w:eastAsia="宋体" w:cs="Arial"/>
          <w:sz w:val="24"/>
          <w:szCs w:val="24"/>
        </w:rPr>
        <w:t>走多样化办学的道路。充分利用企业的资源和需求、行业的导向和需要，进行多种形式的联合办学。</w:t>
      </w:r>
      <w:r>
        <w:rPr>
          <w:rFonts w:ascii="宋体" w:hAnsi="宋体" w:eastAsia="宋体" w:cs="宋体"/>
          <w:kern w:val="0"/>
          <w:sz w:val="24"/>
          <w:szCs w:val="24"/>
        </w:rPr>
        <w:br w:type="textWrapping"/>
      </w:r>
      <w:r>
        <w:rPr>
          <w:rFonts w:ascii="宋体" w:hAnsi="宋体" w:eastAsia="宋体" w:cs="宋体"/>
          <w:kern w:val="0"/>
          <w:sz w:val="24"/>
          <w:szCs w:val="24"/>
        </w:rPr>
        <w:t>8.2改进措施。</w:t>
      </w:r>
    </w:p>
    <w:p>
      <w:pPr>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加强公开招考专业教师，加大企业兼职教师的招聘力度</w:t>
      </w:r>
      <w:r>
        <w:rPr>
          <w:rFonts w:hint="eastAsia" w:ascii="宋体" w:hAnsi="宋体" w:eastAsia="宋体" w:cs="宋体"/>
          <w:kern w:val="0"/>
          <w:sz w:val="24"/>
          <w:szCs w:val="24"/>
        </w:rPr>
        <w:t>，</w:t>
      </w:r>
      <w:r>
        <w:rPr>
          <w:rFonts w:ascii="宋体" w:hAnsi="宋体" w:eastAsia="宋体" w:cs="宋体"/>
          <w:kern w:val="0"/>
          <w:sz w:val="24"/>
          <w:szCs w:val="24"/>
        </w:rPr>
        <w:t>一是发挥外聘兼职教师的作用</w:t>
      </w:r>
      <w:r>
        <w:rPr>
          <w:rFonts w:hint="eastAsia" w:ascii="宋体" w:hAnsi="宋体" w:eastAsia="宋体" w:cs="宋体"/>
          <w:kern w:val="0"/>
          <w:sz w:val="24"/>
          <w:szCs w:val="24"/>
        </w:rPr>
        <w:t>。</w:t>
      </w:r>
    </w:p>
    <w:p>
      <w:pPr>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完善教师培养培训长效机制</w:t>
      </w:r>
      <w:r>
        <w:rPr>
          <w:rFonts w:hint="eastAsia" w:ascii="宋体" w:hAnsi="宋体" w:eastAsia="宋体" w:cs="宋体"/>
          <w:kern w:val="0"/>
          <w:sz w:val="24"/>
          <w:szCs w:val="24"/>
        </w:rPr>
        <w:t>，</w:t>
      </w:r>
      <w:r>
        <w:rPr>
          <w:rFonts w:ascii="宋体" w:hAnsi="宋体" w:eastAsia="宋体" w:cs="宋体"/>
          <w:kern w:val="0"/>
          <w:sz w:val="24"/>
          <w:szCs w:val="24"/>
        </w:rPr>
        <w:t>继续强化对现有教师的培养培训，</w:t>
      </w:r>
      <w:r>
        <w:rPr>
          <w:rFonts w:hint="eastAsia" w:ascii="宋体" w:hAnsi="宋体" w:eastAsia="宋体" w:cs="宋体"/>
          <w:kern w:val="0"/>
          <w:sz w:val="24"/>
          <w:szCs w:val="24"/>
        </w:rPr>
        <w:t>组织教师定期下企业实践，</w:t>
      </w:r>
      <w:r>
        <w:rPr>
          <w:rFonts w:ascii="宋体" w:hAnsi="宋体" w:eastAsia="宋体" w:cs="宋体"/>
          <w:kern w:val="0"/>
          <w:sz w:val="24"/>
          <w:szCs w:val="24"/>
        </w:rPr>
        <w:t>不断提高师资队伍的整体素质</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hint="eastAsia" w:ascii="宋体" w:hAnsi="宋体" w:eastAsia="宋体" w:cs="宋体"/>
          <w:kern w:val="0"/>
          <w:sz w:val="24"/>
          <w:szCs w:val="24"/>
        </w:rPr>
        <w:t>3</w:t>
      </w:r>
      <w:r>
        <w:rPr>
          <w:rFonts w:ascii="宋体" w:hAnsi="宋体" w:eastAsia="宋体" w:cs="宋体"/>
          <w:kern w:val="0"/>
          <w:sz w:val="24"/>
          <w:szCs w:val="24"/>
        </w:rPr>
        <w:t>、加强与企业的交流与合作，提高企业参与人才培养的积极性，建立完善校企合作、工学结合运行长效机制。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91"/>
    <w:rsid w:val="001A46E9"/>
    <w:rsid w:val="002B3B5D"/>
    <w:rsid w:val="003A53DA"/>
    <w:rsid w:val="00412343"/>
    <w:rsid w:val="0049377E"/>
    <w:rsid w:val="00665247"/>
    <w:rsid w:val="0067063A"/>
    <w:rsid w:val="006F6A3D"/>
    <w:rsid w:val="007D5C36"/>
    <w:rsid w:val="0089418F"/>
    <w:rsid w:val="008E6BBE"/>
    <w:rsid w:val="0090316D"/>
    <w:rsid w:val="009D5978"/>
    <w:rsid w:val="00AF0BE1"/>
    <w:rsid w:val="00B52D91"/>
    <w:rsid w:val="00C24200"/>
    <w:rsid w:val="00E27684"/>
    <w:rsid w:val="0A3A5158"/>
    <w:rsid w:val="60691D92"/>
    <w:rsid w:val="6C5E3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jc w:val="left"/>
    </w:pPr>
    <w:rPr>
      <w:rFonts w:ascii="宋体" w:hAnsi="宋体" w:eastAsia="宋体" w:cs="宋体"/>
      <w:kern w:val="0"/>
      <w:sz w:val="24"/>
      <w:szCs w:val="24"/>
    </w:rPr>
  </w:style>
  <w:style w:type="character" w:styleId="6">
    <w:name w:val="Strong"/>
    <w:basedOn w:val="5"/>
    <w:qFormat/>
    <w:uiPriority w:val="22"/>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conten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2269</Words>
  <Characters>12937</Characters>
  <Lines>107</Lines>
  <Paragraphs>30</Paragraphs>
  <TotalTime>0</TotalTime>
  <ScaleCrop>false</ScaleCrop>
  <LinksUpToDate>false</LinksUpToDate>
  <CharactersWithSpaces>15176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2019-01-24T11:37:00Z</dcterms:created>
  <dc:creator>Q S</dc:creator>
  <cp:lastModifiedBy>THTF</cp:lastModifiedBy>
  <dcterms:modified xsi:type="dcterms:W3CDTF">2019-01-25T01:09:45Z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