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宋体"/>
          <w:color w:val="000000"/>
          <w:kern w:val="0"/>
          <w:sz w:val="32"/>
          <w:szCs w:val="32"/>
          <w:lang w:eastAsia="zh-CN"/>
        </w:rPr>
      </w:pPr>
      <w:r>
        <w:rPr>
          <w:rFonts w:hint="eastAsia" w:ascii="黑体" w:hAnsi="黑体" w:eastAsia="黑体"/>
          <w:color w:val="000000"/>
          <w:sz w:val="32"/>
          <w:szCs w:val="32"/>
        </w:rPr>
        <w:t>阜阳</w:t>
      </w:r>
      <w:r>
        <w:rPr>
          <w:rFonts w:hint="eastAsia" w:ascii="黑体" w:hAnsi="黑体" w:eastAsia="黑体"/>
          <w:color w:val="000000"/>
          <w:sz w:val="32"/>
          <w:szCs w:val="32"/>
          <w:lang w:eastAsia="zh-CN"/>
        </w:rPr>
        <w:t>市</w:t>
      </w:r>
      <w:r>
        <w:rPr>
          <w:rFonts w:hint="eastAsia" w:ascii="黑体" w:hAnsi="黑体" w:eastAsia="黑体"/>
          <w:color w:val="000000"/>
          <w:sz w:val="32"/>
          <w:szCs w:val="32"/>
        </w:rPr>
        <w:t>医药管理</w:t>
      </w:r>
      <w:r>
        <w:rPr>
          <w:rFonts w:hint="eastAsia" w:ascii="黑体" w:hAnsi="黑体" w:eastAsia="黑体" w:cs="宋体"/>
          <w:color w:val="000000"/>
          <w:kern w:val="0"/>
          <w:sz w:val="32"/>
          <w:szCs w:val="32"/>
        </w:rPr>
        <w:t>学校</w:t>
      </w:r>
      <w:r>
        <w:rPr>
          <w:rFonts w:hint="eastAsia" w:ascii="黑体" w:hAnsi="黑体" w:eastAsia="黑体" w:cs="宋体"/>
          <w:color w:val="000000"/>
          <w:kern w:val="0"/>
          <w:sz w:val="32"/>
          <w:szCs w:val="32"/>
          <w:lang w:eastAsia="zh-CN"/>
        </w:rPr>
        <w:t>（阜阳技师学院）</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黑体" w:hAnsi="黑体" w:eastAsia="黑体" w:cs="宋体"/>
          <w:kern w:val="0"/>
          <w:sz w:val="32"/>
          <w:szCs w:val="32"/>
        </w:rPr>
      </w:pPr>
      <w:r>
        <w:rPr>
          <w:rFonts w:ascii="黑体" w:hAnsi="黑体" w:eastAsia="黑体" w:cs="宋体"/>
          <w:kern w:val="0"/>
          <w:sz w:val="32"/>
          <w:szCs w:val="32"/>
        </w:rPr>
        <w:t>201</w:t>
      </w:r>
      <w:r>
        <w:rPr>
          <w:rFonts w:hint="eastAsia" w:ascii="黑体" w:hAnsi="黑体" w:eastAsia="黑体" w:cs="宋体"/>
          <w:kern w:val="0"/>
          <w:sz w:val="32"/>
          <w:szCs w:val="32"/>
          <w:lang w:val="en-US" w:eastAsia="zh-CN"/>
        </w:rPr>
        <w:t>9</w:t>
      </w:r>
      <w:r>
        <w:rPr>
          <w:rFonts w:ascii="黑体" w:hAnsi="黑体" w:eastAsia="黑体" w:cs="宋体"/>
          <w:kern w:val="0"/>
          <w:sz w:val="32"/>
          <w:szCs w:val="32"/>
        </w:rPr>
        <w:t>年度质量年度报告</w:t>
      </w:r>
    </w:p>
    <w:p>
      <w:pPr>
        <w:widowControl/>
        <w:spacing w:before="100" w:beforeAutospacing="1" w:after="100" w:afterAutospacing="1" w:line="450" w:lineRule="atLeast"/>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201</w:t>
      </w:r>
      <w:r>
        <w:rPr>
          <w:rFonts w:hint="eastAsia" w:ascii="宋体" w:hAnsi="宋体" w:eastAsia="宋体"/>
          <w:color w:val="000000"/>
          <w:sz w:val="24"/>
          <w:szCs w:val="24"/>
          <w:lang w:val="en-US" w:eastAsia="zh-CN"/>
        </w:rPr>
        <w:t>9</w:t>
      </w:r>
      <w:r>
        <w:rPr>
          <w:rFonts w:hint="eastAsia" w:ascii="宋体" w:hAnsi="宋体" w:eastAsia="宋体" w:cs="宋体"/>
          <w:color w:val="000000"/>
          <w:kern w:val="0"/>
          <w:sz w:val="24"/>
          <w:szCs w:val="24"/>
        </w:rPr>
        <w:t>年,</w:t>
      </w:r>
      <w:r>
        <w:rPr>
          <w:rFonts w:hint="eastAsia" w:ascii="宋体" w:hAnsi="宋体" w:eastAsia="宋体"/>
          <w:color w:val="000000"/>
          <w:sz w:val="24"/>
          <w:szCs w:val="24"/>
        </w:rPr>
        <w:t>阜阳医药管理</w:t>
      </w:r>
      <w:r>
        <w:rPr>
          <w:rFonts w:hint="eastAsia" w:ascii="宋体" w:hAnsi="宋体" w:eastAsia="宋体" w:cs="宋体"/>
          <w:color w:val="000000"/>
          <w:kern w:val="0"/>
          <w:sz w:val="24"/>
          <w:szCs w:val="24"/>
        </w:rPr>
        <w:t>学校</w:t>
      </w:r>
      <w:r>
        <w:rPr>
          <w:rFonts w:hint="eastAsia" w:ascii="宋体" w:hAnsi="宋体" w:eastAsia="宋体"/>
          <w:color w:val="2B2B2B"/>
          <w:sz w:val="24"/>
          <w:szCs w:val="24"/>
        </w:rPr>
        <w:t>坚持以服务当地经济建设和社会发展为宗旨，</w:t>
      </w:r>
      <w:r>
        <w:rPr>
          <w:rFonts w:hint="eastAsia" w:ascii="宋体" w:hAnsi="宋体" w:eastAsia="宋体"/>
          <w:color w:val="2B2B2B"/>
          <w:sz w:val="24"/>
          <w:szCs w:val="24"/>
          <w:lang w:val="en-US" w:eastAsia="zh-CN"/>
        </w:rPr>
        <w:t>始终把</w:t>
      </w:r>
      <w:r>
        <w:rPr>
          <w:rFonts w:hint="eastAsia" w:ascii="宋体" w:hAnsi="宋体" w:eastAsia="宋体"/>
          <w:color w:val="2B2B2B"/>
          <w:sz w:val="24"/>
          <w:szCs w:val="24"/>
        </w:rPr>
        <w:t>习近平总书记提出的“</w:t>
      </w:r>
      <w:r>
        <w:rPr>
          <w:rFonts w:hint="eastAsia" w:ascii="宋体" w:hAnsi="宋体" w:eastAsia="宋体"/>
          <w:color w:val="2B2B2B"/>
          <w:sz w:val="24"/>
          <w:szCs w:val="24"/>
          <w:lang w:val="en-US" w:eastAsia="zh-CN"/>
        </w:rPr>
        <w:t>坚持</w:t>
      </w:r>
      <w:r>
        <w:rPr>
          <w:rFonts w:hint="eastAsia" w:ascii="宋体" w:hAnsi="宋体" w:eastAsia="宋体"/>
          <w:color w:val="2B2B2B"/>
          <w:sz w:val="24"/>
          <w:szCs w:val="24"/>
        </w:rPr>
        <w:t>产教融合、校企合作，</w:t>
      </w:r>
      <w:r>
        <w:rPr>
          <w:rFonts w:hint="eastAsia" w:ascii="宋体" w:hAnsi="宋体" w:eastAsia="宋体"/>
          <w:color w:val="2B2B2B"/>
          <w:sz w:val="24"/>
          <w:szCs w:val="24"/>
          <w:lang w:val="en-US" w:eastAsia="zh-CN"/>
        </w:rPr>
        <w:t>坚持</w:t>
      </w:r>
      <w:r>
        <w:rPr>
          <w:rFonts w:hint="eastAsia" w:ascii="宋体" w:hAnsi="宋体" w:eastAsia="宋体"/>
          <w:color w:val="2B2B2B"/>
          <w:sz w:val="24"/>
          <w:szCs w:val="24"/>
        </w:rPr>
        <w:t>工学一体、知行合一”</w:t>
      </w:r>
      <w:r>
        <w:rPr>
          <w:rFonts w:hint="eastAsia" w:ascii="宋体" w:hAnsi="宋体" w:eastAsia="宋体"/>
          <w:color w:val="2B2B2B"/>
          <w:sz w:val="24"/>
          <w:szCs w:val="24"/>
          <w:lang w:val="en-US" w:eastAsia="zh-CN"/>
        </w:rPr>
        <w:t>作为办学</w:t>
      </w:r>
      <w:r>
        <w:rPr>
          <w:rFonts w:hint="eastAsia" w:ascii="宋体" w:hAnsi="宋体" w:eastAsia="宋体"/>
          <w:color w:val="2B2B2B"/>
          <w:sz w:val="24"/>
          <w:szCs w:val="24"/>
        </w:rPr>
        <w:t>指导思想，探索出了“一二三四”的办学道路，即以“服务实体经济发展”为</w:t>
      </w:r>
      <w:r>
        <w:rPr>
          <w:rFonts w:hint="eastAsia" w:ascii="宋体" w:hAnsi="宋体" w:eastAsia="宋体"/>
          <w:color w:val="2B2B2B"/>
          <w:sz w:val="24"/>
          <w:szCs w:val="24"/>
          <w:lang w:val="en-US" w:eastAsia="zh-CN"/>
        </w:rPr>
        <w:t>办学</w:t>
      </w:r>
      <w:r>
        <w:rPr>
          <w:rFonts w:hint="eastAsia" w:ascii="宋体" w:hAnsi="宋体" w:eastAsia="宋体"/>
          <w:color w:val="2B2B2B"/>
          <w:sz w:val="24"/>
          <w:szCs w:val="24"/>
        </w:rPr>
        <w:t>中心，以“学院围绕企业转，学生围绕市场转”为办学思路，努力建设阜阳市“高技能人才培养平台”、“招商</w:t>
      </w:r>
      <w:r>
        <w:rPr>
          <w:rFonts w:hint="eastAsia" w:ascii="宋体" w:hAnsi="宋体" w:eastAsia="宋体"/>
          <w:color w:val="2B2B2B"/>
          <w:sz w:val="24"/>
          <w:szCs w:val="24"/>
          <w:lang w:val="en-US" w:eastAsia="zh-CN"/>
        </w:rPr>
        <w:t>引资</w:t>
      </w:r>
      <w:r>
        <w:rPr>
          <w:rFonts w:hint="eastAsia" w:ascii="宋体" w:hAnsi="宋体" w:eastAsia="宋体"/>
          <w:color w:val="2B2B2B"/>
          <w:sz w:val="24"/>
          <w:szCs w:val="24"/>
        </w:rPr>
        <w:t>平台”、“双创孵化平台”，探索出了“学校像工厂、教室像车间、老师像师傅、学生像徒弟”的“四像办学模式”。</w:t>
      </w:r>
      <w:r>
        <w:rPr>
          <w:rFonts w:hint="eastAsia" w:ascii="宋体" w:hAnsi="宋体" w:eastAsia="宋体"/>
          <w:bCs/>
          <w:color w:val="333333"/>
          <w:sz w:val="24"/>
          <w:szCs w:val="24"/>
        </w:rPr>
        <w:t>新形势下，学校将不断探索职业教育创新发展的新模式、新思路，充分发挥传统中医药和大健康产业发展优势，突出药剂专业、中药专业、健康服务与管理专业</w:t>
      </w:r>
      <w:r>
        <w:rPr>
          <w:rFonts w:hint="eastAsia" w:ascii="宋体" w:hAnsi="宋体" w:eastAsia="宋体"/>
          <w:bCs/>
          <w:color w:val="333333"/>
          <w:sz w:val="24"/>
          <w:szCs w:val="24"/>
          <w:lang w:eastAsia="zh-CN"/>
        </w:rPr>
        <w:t>、</w:t>
      </w:r>
      <w:r>
        <w:rPr>
          <w:rFonts w:hint="eastAsia" w:ascii="宋体" w:hAnsi="宋体" w:eastAsia="宋体"/>
          <w:bCs/>
          <w:color w:val="333333"/>
          <w:sz w:val="24"/>
          <w:szCs w:val="24"/>
          <w:lang w:val="en-US" w:eastAsia="zh-CN"/>
        </w:rPr>
        <w:t>康复保健专业等专业的</w:t>
      </w:r>
      <w:r>
        <w:rPr>
          <w:rFonts w:hint="eastAsia" w:ascii="宋体" w:hAnsi="宋体" w:eastAsia="宋体"/>
          <w:bCs/>
          <w:color w:val="333333"/>
          <w:sz w:val="24"/>
          <w:szCs w:val="24"/>
        </w:rPr>
        <w:t>特色，不断调整优化专业机构，提升人才培养质量，全面推进一体化教学改革，以适应社会高质量发展、新旧动能转换的需求，为培养更多知识型、技术型和创新型的高层次人才而不懈努力！</w:t>
      </w:r>
    </w:p>
    <w:p>
      <w:pPr>
        <w:widowControl/>
        <w:spacing w:before="100" w:beforeAutospacing="1" w:after="100" w:afterAutospacing="1" w:line="450" w:lineRule="atLeast"/>
        <w:ind w:firstLine="480" w:firstLineChars="200"/>
        <w:jc w:val="left"/>
        <w:rPr>
          <w:rFonts w:ascii="宋体" w:hAnsi="宋体" w:eastAsia="宋体"/>
          <w:color w:val="000000"/>
          <w:sz w:val="24"/>
          <w:szCs w:val="24"/>
        </w:rPr>
      </w:pPr>
      <w:r>
        <w:rPr>
          <w:rFonts w:hint="eastAsia" w:ascii="宋体" w:hAnsi="宋体" w:eastAsia="宋体"/>
          <w:color w:val="333333"/>
          <w:sz w:val="24"/>
          <w:szCs w:val="24"/>
        </w:rPr>
        <w:t>现</w:t>
      </w:r>
      <w:r>
        <w:rPr>
          <w:rFonts w:ascii="宋体" w:hAnsi="宋体" w:eastAsia="宋体" w:cs="Times New Roman"/>
          <w:color w:val="333333"/>
          <w:sz w:val="24"/>
          <w:szCs w:val="24"/>
        </w:rPr>
        <w:t>根据教育部职成司《关于编制和发布201</w:t>
      </w:r>
      <w:r>
        <w:rPr>
          <w:rFonts w:hint="eastAsia" w:ascii="宋体" w:hAnsi="宋体" w:eastAsia="宋体" w:cs="Times New Roman"/>
          <w:color w:val="333333"/>
          <w:sz w:val="24"/>
          <w:szCs w:val="24"/>
          <w:lang w:val="en-US" w:eastAsia="zh-CN"/>
        </w:rPr>
        <w:t>9</w:t>
      </w:r>
      <w:r>
        <w:rPr>
          <w:rFonts w:ascii="宋体" w:hAnsi="宋体" w:eastAsia="宋体" w:cs="Times New Roman"/>
          <w:color w:val="333333"/>
          <w:sz w:val="24"/>
          <w:szCs w:val="24"/>
        </w:rPr>
        <w:t>年度中等职业学校质量年度报告的通知》（教职成司函〔201</w:t>
      </w:r>
      <w:r>
        <w:rPr>
          <w:rFonts w:hint="eastAsia" w:ascii="宋体" w:hAnsi="宋体" w:eastAsia="宋体" w:cs="Times New Roman"/>
          <w:color w:val="333333"/>
          <w:sz w:val="24"/>
          <w:szCs w:val="24"/>
          <w:lang w:val="en-US" w:eastAsia="zh-CN"/>
        </w:rPr>
        <w:t>9</w:t>
      </w:r>
      <w:r>
        <w:rPr>
          <w:rFonts w:ascii="宋体" w:hAnsi="宋体" w:eastAsia="宋体" w:cs="Times New Roman"/>
          <w:color w:val="333333"/>
          <w:sz w:val="24"/>
          <w:szCs w:val="24"/>
        </w:rPr>
        <w:t>〕1</w:t>
      </w:r>
      <w:r>
        <w:rPr>
          <w:rFonts w:hint="eastAsia" w:ascii="宋体" w:hAnsi="宋体" w:eastAsia="宋体" w:cs="Times New Roman"/>
          <w:color w:val="333333"/>
          <w:sz w:val="24"/>
          <w:szCs w:val="24"/>
          <w:lang w:val="en-US" w:eastAsia="zh-CN"/>
        </w:rPr>
        <w:t>0</w:t>
      </w:r>
      <w:r>
        <w:rPr>
          <w:rFonts w:ascii="宋体" w:hAnsi="宋体" w:eastAsia="宋体" w:cs="Times New Roman"/>
          <w:color w:val="333333"/>
          <w:sz w:val="24"/>
          <w:szCs w:val="24"/>
        </w:rPr>
        <w:t>1号）、《安徽省教育厅关于开展中等职业教育质量年度报告工作的通知》（皖教职成〔2016〕3号）等要求</w:t>
      </w:r>
      <w:r>
        <w:rPr>
          <w:rFonts w:hint="eastAsia" w:ascii="宋体" w:hAnsi="宋体" w:eastAsia="宋体"/>
          <w:color w:val="2B2B2B"/>
          <w:sz w:val="24"/>
          <w:szCs w:val="24"/>
        </w:rPr>
        <w:t>，将我校职业教育质量情况汇报如下</w:t>
      </w:r>
      <w:r>
        <w:rPr>
          <w:rFonts w:hint="eastAsia" w:ascii="宋体" w:hAnsi="宋体" w:eastAsia="宋体" w:cs="宋体"/>
          <w:color w:val="000000"/>
          <w:kern w:val="0"/>
          <w:sz w:val="24"/>
          <w:szCs w:val="24"/>
        </w:rPr>
        <w:t>。</w:t>
      </w:r>
      <w:r>
        <w:rPr>
          <w:rFonts w:ascii="宋体" w:hAnsi="宋体" w:eastAsia="宋体" w:cs="宋体"/>
          <w:kern w:val="0"/>
          <w:sz w:val="24"/>
          <w:szCs w:val="24"/>
        </w:rPr>
        <w:br w:type="textWrapping"/>
      </w:r>
      <w:r>
        <w:rPr>
          <w:rFonts w:ascii="宋体" w:hAnsi="宋体" w:eastAsia="宋体" w:cs="宋体"/>
          <w:kern w:val="0"/>
          <w:sz w:val="24"/>
          <w:szCs w:val="24"/>
        </w:rPr>
        <w:t>1.学校情况</w:t>
      </w:r>
      <w:r>
        <w:rPr>
          <w:rFonts w:ascii="宋体" w:hAnsi="宋体" w:eastAsia="宋体" w:cs="宋体"/>
          <w:kern w:val="0"/>
          <w:sz w:val="24"/>
          <w:szCs w:val="24"/>
        </w:rPr>
        <w:br w:type="textWrapping"/>
      </w:r>
      <w:r>
        <w:rPr>
          <w:rFonts w:ascii="宋体" w:hAnsi="宋体" w:eastAsia="宋体" w:cs="宋体"/>
          <w:kern w:val="0"/>
          <w:sz w:val="24"/>
          <w:szCs w:val="24"/>
        </w:rPr>
        <w:t>1.1学校概况。</w:t>
      </w:r>
      <w:r>
        <w:rPr>
          <w:rFonts w:ascii="宋体" w:hAnsi="宋体" w:eastAsia="宋体" w:cs="宋体"/>
          <w:kern w:val="0"/>
          <w:sz w:val="24"/>
          <w:szCs w:val="24"/>
        </w:rPr>
        <w:br w:type="textWrapping"/>
      </w:r>
      <w:r>
        <w:rPr>
          <w:rFonts w:ascii="宋体" w:hAnsi="宋体" w:eastAsia="宋体"/>
          <w:color w:val="000000"/>
          <w:sz w:val="24"/>
          <w:szCs w:val="24"/>
        </w:rPr>
        <w:t>阜阳医药管理学校</w:t>
      </w:r>
      <w:r>
        <w:rPr>
          <w:rFonts w:hint="eastAsia" w:ascii="宋体" w:hAnsi="宋体" w:eastAsia="宋体"/>
          <w:color w:val="000000"/>
          <w:sz w:val="24"/>
          <w:szCs w:val="24"/>
          <w:lang w:eastAsia="zh-CN"/>
        </w:rPr>
        <w:t>（阜阳技师学院）</w:t>
      </w:r>
      <w:r>
        <w:rPr>
          <w:rFonts w:ascii="宋体" w:hAnsi="宋体" w:eastAsia="宋体"/>
          <w:color w:val="000000"/>
          <w:sz w:val="24"/>
          <w:szCs w:val="24"/>
        </w:rPr>
        <w:t>是一所国有公办的医药职业中等专业学校，学校的前身是安徽省医药干部学校阜阳分校，属市直中职学校。学校是中国医药教育协会职业技术教育委员会、中国职业教育学会医药专业委员会理事单位。2012年4月并入阜阳技师学院。校园环境幽雅，空气清新，四季常绿，共栽培用于教学的各种药用植物200余种，中药标本</w:t>
      </w:r>
      <w:r>
        <w:rPr>
          <w:rFonts w:hint="eastAsia" w:ascii="宋体" w:hAnsi="宋体" w:eastAsia="宋体"/>
          <w:color w:val="000000"/>
          <w:sz w:val="24"/>
          <w:szCs w:val="24"/>
        </w:rPr>
        <w:t>馆</w:t>
      </w:r>
      <w:r>
        <w:rPr>
          <w:rFonts w:ascii="宋体" w:hAnsi="宋体" w:eastAsia="宋体"/>
          <w:color w:val="000000"/>
          <w:sz w:val="24"/>
          <w:szCs w:val="24"/>
        </w:rPr>
        <w:t>陈列药材标本500余种。学校还设有模拟药房、</w:t>
      </w:r>
      <w:r>
        <w:rPr>
          <w:rFonts w:hint="eastAsia" w:ascii="宋体" w:hAnsi="宋体" w:eastAsia="宋体"/>
          <w:color w:val="000000"/>
          <w:sz w:val="24"/>
          <w:szCs w:val="24"/>
        </w:rPr>
        <w:t>中药炮制实训室、中药调剂实训室、护理实训室、推拿实训室</w:t>
      </w:r>
      <w:r>
        <w:rPr>
          <w:rFonts w:ascii="宋体" w:hAnsi="宋体" w:eastAsia="宋体"/>
          <w:color w:val="000000"/>
          <w:sz w:val="24"/>
          <w:szCs w:val="24"/>
        </w:rPr>
        <w:t>、微机室等教学实习设备，是十分理想的学习场所。学校拥有一支教学严谨，业务精良的师资队伍，专业课均由既有扎实理论基础又有丰富教学、实践经验的执业（中）药师、执业（中）医师、主管药师等医学药学专业技术人员担任，治学严谨，管理规范。学校设有职业（成人）中专班及阜阳市医药行业职业技能鉴定站。</w:t>
      </w:r>
    </w:p>
    <w:p>
      <w:pPr>
        <w:widowControl/>
        <w:spacing w:before="100" w:beforeAutospacing="1" w:after="100" w:afterAutospacing="1" w:line="450" w:lineRule="atLeast"/>
        <w:jc w:val="left"/>
        <w:rPr>
          <w:rFonts w:ascii="宋体" w:hAnsi="宋体" w:eastAsia="宋体" w:cs="宋体"/>
          <w:kern w:val="0"/>
          <w:sz w:val="24"/>
          <w:szCs w:val="24"/>
        </w:rPr>
      </w:pPr>
      <w:r>
        <w:rPr>
          <w:rFonts w:ascii="宋体" w:hAnsi="宋体" w:eastAsia="宋体" w:cs="宋体"/>
          <w:kern w:val="0"/>
          <w:sz w:val="24"/>
          <w:szCs w:val="24"/>
        </w:rPr>
        <w:t>学校基础设施完善，教学设备齐全。学校位于阜阳市临泉路</w:t>
      </w:r>
      <w:r>
        <w:rPr>
          <w:rFonts w:hint="eastAsia" w:ascii="宋体" w:hAnsi="宋体" w:eastAsia="宋体" w:cs="宋体"/>
          <w:kern w:val="0"/>
          <w:sz w:val="24"/>
          <w:szCs w:val="24"/>
        </w:rPr>
        <w:t>889</w:t>
      </w:r>
      <w:r>
        <w:rPr>
          <w:rFonts w:ascii="宋体" w:hAnsi="宋体" w:eastAsia="宋体" w:cs="宋体"/>
          <w:kern w:val="0"/>
          <w:sz w:val="24"/>
          <w:szCs w:val="24"/>
        </w:rPr>
        <w:t>号，占地</w:t>
      </w:r>
      <w:r>
        <w:rPr>
          <w:rFonts w:hint="eastAsia" w:ascii="宋体" w:hAnsi="宋体" w:eastAsia="宋体" w:cs="宋体"/>
          <w:kern w:val="0"/>
          <w:sz w:val="24"/>
          <w:szCs w:val="24"/>
        </w:rPr>
        <w:t>380.12</w:t>
      </w:r>
      <w:r>
        <w:rPr>
          <w:rFonts w:ascii="宋体" w:hAnsi="宋体" w:eastAsia="宋体" w:cs="宋体"/>
          <w:kern w:val="0"/>
          <w:sz w:val="24"/>
          <w:szCs w:val="24"/>
        </w:rPr>
        <w:t>亩，校园建筑面积</w:t>
      </w:r>
      <w:r>
        <w:rPr>
          <w:rFonts w:hint="eastAsia" w:ascii="宋体" w:hAnsi="宋体" w:eastAsia="宋体" w:cs="宋体"/>
          <w:kern w:val="0"/>
          <w:sz w:val="24"/>
          <w:szCs w:val="24"/>
        </w:rPr>
        <w:t>75051.94</w:t>
      </w:r>
      <w:r>
        <w:rPr>
          <w:rFonts w:ascii="宋体" w:hAnsi="宋体" w:eastAsia="宋体" w:cs="宋体"/>
          <w:kern w:val="0"/>
          <w:sz w:val="24"/>
          <w:szCs w:val="24"/>
        </w:rPr>
        <w:t>㎡，固定资产总值</w:t>
      </w:r>
      <w:r>
        <w:rPr>
          <w:rFonts w:hint="eastAsia" w:ascii="宋体" w:hAnsi="宋体" w:eastAsia="宋体" w:cs="宋体"/>
          <w:kern w:val="0"/>
          <w:sz w:val="24"/>
          <w:szCs w:val="24"/>
          <w:lang w:val="en-US" w:eastAsia="zh-CN"/>
        </w:rPr>
        <w:t>8370</w:t>
      </w:r>
      <w:r>
        <w:rPr>
          <w:rFonts w:hint="eastAsia" w:ascii="宋体" w:hAnsi="宋体" w:eastAsia="宋体" w:cs="宋体"/>
          <w:kern w:val="0"/>
          <w:sz w:val="24"/>
          <w:szCs w:val="24"/>
        </w:rPr>
        <w:t>万</w:t>
      </w:r>
      <w:r>
        <w:rPr>
          <w:rFonts w:ascii="宋体" w:hAnsi="宋体" w:eastAsia="宋体" w:cs="宋体"/>
          <w:kern w:val="0"/>
          <w:sz w:val="24"/>
          <w:szCs w:val="24"/>
        </w:rPr>
        <w:t>元。</w:t>
      </w:r>
      <w:r>
        <w:rPr>
          <w:rFonts w:ascii="宋体" w:hAnsi="宋体" w:eastAsia="宋体" w:cs="宋体"/>
          <w:kern w:val="0"/>
          <w:sz w:val="24"/>
          <w:szCs w:val="24"/>
        </w:rPr>
        <w:br w:type="textWrapping"/>
      </w:r>
      <w:r>
        <w:rPr>
          <w:rFonts w:ascii="宋体" w:hAnsi="宋体" w:eastAsia="宋体" w:cs="宋体"/>
          <w:kern w:val="0"/>
          <w:sz w:val="24"/>
          <w:szCs w:val="24"/>
        </w:rPr>
        <w:t>表1-1 近两学年中等职业学校基本概况一览表</w:t>
      </w:r>
    </w:p>
    <w:tbl>
      <w:tblPr>
        <w:tblStyle w:val="5"/>
        <w:tblW w:w="937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46"/>
        <w:gridCol w:w="3607"/>
        <w:gridCol w:w="1080"/>
        <w:gridCol w:w="1058"/>
        <w:gridCol w:w="1182"/>
        <w:gridCol w:w="10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 w:hRule="atLeast"/>
          <w:jc w:val="center"/>
        </w:trPr>
        <w:tc>
          <w:tcPr>
            <w:tcW w:w="1446" w:type="dxa"/>
            <w:vAlign w:val="center"/>
          </w:tcPr>
          <w:p>
            <w:pPr>
              <w:spacing w:line="240" w:lineRule="exact"/>
              <w:jc w:val="center"/>
              <w:rPr>
                <w:rFonts w:ascii="宋体" w:hAnsi="宋体" w:eastAsia="宋体" w:cs="宋体"/>
                <w:bCs/>
                <w:sz w:val="24"/>
                <w:szCs w:val="24"/>
              </w:rPr>
            </w:pPr>
            <w:r>
              <w:rPr>
                <w:rFonts w:hint="eastAsia" w:ascii="宋体" w:hAnsi="宋体" w:eastAsia="宋体"/>
                <w:bCs/>
                <w:sz w:val="24"/>
                <w:szCs w:val="24"/>
              </w:rPr>
              <w:t>学年度</w:t>
            </w:r>
          </w:p>
        </w:tc>
        <w:tc>
          <w:tcPr>
            <w:tcW w:w="3607" w:type="dxa"/>
            <w:vAlign w:val="center"/>
          </w:tcPr>
          <w:p>
            <w:pPr>
              <w:spacing w:line="240" w:lineRule="exact"/>
              <w:jc w:val="center"/>
              <w:rPr>
                <w:rFonts w:ascii="宋体" w:hAnsi="宋体" w:eastAsia="宋体" w:cs="宋体"/>
                <w:bCs/>
                <w:sz w:val="24"/>
                <w:szCs w:val="24"/>
              </w:rPr>
            </w:pPr>
            <w:r>
              <w:rPr>
                <w:rFonts w:hint="eastAsia" w:ascii="宋体" w:hAnsi="宋体" w:eastAsia="宋体"/>
                <w:bCs/>
                <w:sz w:val="24"/>
                <w:szCs w:val="24"/>
              </w:rPr>
              <w:t>学校名称（全名）</w:t>
            </w:r>
          </w:p>
        </w:tc>
        <w:tc>
          <w:tcPr>
            <w:tcW w:w="1080" w:type="dxa"/>
            <w:vAlign w:val="center"/>
          </w:tcPr>
          <w:p>
            <w:pPr>
              <w:spacing w:line="240" w:lineRule="exact"/>
              <w:jc w:val="center"/>
              <w:rPr>
                <w:rFonts w:ascii="宋体" w:hAnsi="宋体" w:eastAsia="宋体" w:cs="宋体"/>
                <w:bCs/>
                <w:sz w:val="24"/>
                <w:szCs w:val="24"/>
              </w:rPr>
            </w:pPr>
            <w:r>
              <w:rPr>
                <w:rFonts w:hint="eastAsia" w:ascii="宋体" w:hAnsi="宋体" w:eastAsia="宋体"/>
                <w:bCs/>
                <w:sz w:val="24"/>
                <w:szCs w:val="24"/>
              </w:rPr>
              <w:t>办学性质</w:t>
            </w:r>
          </w:p>
        </w:tc>
        <w:tc>
          <w:tcPr>
            <w:tcW w:w="1058" w:type="dxa"/>
            <w:vAlign w:val="center"/>
          </w:tcPr>
          <w:p>
            <w:pPr>
              <w:spacing w:line="240" w:lineRule="exact"/>
              <w:jc w:val="center"/>
              <w:rPr>
                <w:rFonts w:ascii="宋体" w:hAnsi="宋体" w:eastAsia="宋体" w:cs="宋体"/>
                <w:bCs/>
                <w:sz w:val="24"/>
                <w:szCs w:val="24"/>
              </w:rPr>
            </w:pPr>
            <w:r>
              <w:rPr>
                <w:rFonts w:hint="eastAsia" w:ascii="宋体" w:hAnsi="宋体" w:eastAsia="宋体"/>
                <w:bCs/>
                <w:sz w:val="24"/>
                <w:szCs w:val="24"/>
              </w:rPr>
              <w:t>校园占地（亩）</w:t>
            </w:r>
          </w:p>
        </w:tc>
        <w:tc>
          <w:tcPr>
            <w:tcW w:w="1182" w:type="dxa"/>
            <w:vAlign w:val="center"/>
          </w:tcPr>
          <w:p>
            <w:pPr>
              <w:adjustRightInd w:val="0"/>
              <w:snapToGrid w:val="0"/>
              <w:spacing w:line="220" w:lineRule="atLeast"/>
              <w:jc w:val="center"/>
              <w:rPr>
                <w:rFonts w:ascii="宋体" w:hAnsi="宋体" w:eastAsia="宋体"/>
                <w:bCs/>
                <w:sz w:val="24"/>
                <w:szCs w:val="24"/>
              </w:rPr>
            </w:pPr>
            <w:r>
              <w:rPr>
                <w:rFonts w:hint="eastAsia" w:ascii="宋体" w:hAnsi="宋体" w:eastAsia="宋体"/>
                <w:bCs/>
                <w:sz w:val="24"/>
                <w:szCs w:val="24"/>
              </w:rPr>
              <w:t>校舍面积（㎡）</w:t>
            </w:r>
          </w:p>
        </w:tc>
        <w:tc>
          <w:tcPr>
            <w:tcW w:w="1004" w:type="dxa"/>
            <w:vAlign w:val="center"/>
          </w:tcPr>
          <w:p>
            <w:pPr>
              <w:spacing w:line="240" w:lineRule="exact"/>
              <w:jc w:val="center"/>
              <w:rPr>
                <w:rFonts w:hint="eastAsia" w:ascii="宋体" w:hAnsi="宋体" w:eastAsia="宋体" w:cs="宋体"/>
                <w:bCs/>
                <w:sz w:val="24"/>
                <w:szCs w:val="24"/>
              </w:rPr>
            </w:pPr>
            <w:r>
              <w:rPr>
                <w:rFonts w:hint="eastAsia" w:ascii="宋体" w:hAnsi="宋体" w:eastAsia="宋体" w:cs="宋体"/>
                <w:bCs/>
                <w:sz w:val="24"/>
                <w:szCs w:val="24"/>
              </w:rPr>
              <w:t>资产总值（万元）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1" w:hRule="exact"/>
          <w:jc w:val="center"/>
        </w:trPr>
        <w:tc>
          <w:tcPr>
            <w:tcW w:w="1446" w:type="dxa"/>
            <w:vAlign w:val="center"/>
          </w:tcPr>
          <w:p>
            <w:pPr>
              <w:spacing w:line="240" w:lineRule="atLeast"/>
              <w:jc w:val="center"/>
              <w:rPr>
                <w:rFonts w:hint="eastAsia" w:ascii="宋体" w:hAnsi="宋体" w:eastAsia="宋体" w:cs="宋体"/>
                <w:sz w:val="24"/>
                <w:szCs w:val="24"/>
              </w:rPr>
            </w:pPr>
            <w:r>
              <w:rPr>
                <w:rFonts w:ascii="宋体" w:hAnsi="宋体" w:eastAsia="宋体"/>
                <w:sz w:val="24"/>
                <w:szCs w:val="24"/>
              </w:rPr>
              <w:t>201</w:t>
            </w:r>
            <w:r>
              <w:rPr>
                <w:rFonts w:hint="eastAsia" w:ascii="宋体" w:hAnsi="宋体" w:eastAsia="宋体"/>
                <w:sz w:val="24"/>
                <w:szCs w:val="24"/>
              </w:rPr>
              <w:t>7</w:t>
            </w:r>
            <w:r>
              <w:rPr>
                <w:rFonts w:ascii="宋体" w:hAnsi="宋体" w:eastAsia="宋体"/>
                <w:sz w:val="24"/>
                <w:szCs w:val="24"/>
              </w:rPr>
              <w:t>～201</w:t>
            </w:r>
            <w:r>
              <w:rPr>
                <w:rFonts w:hint="eastAsia" w:ascii="宋体" w:hAnsi="宋体" w:eastAsia="宋体"/>
                <w:sz w:val="24"/>
                <w:szCs w:val="24"/>
              </w:rPr>
              <w:t>8</w:t>
            </w:r>
          </w:p>
        </w:tc>
        <w:tc>
          <w:tcPr>
            <w:tcW w:w="3607" w:type="dxa"/>
            <w:vAlign w:val="center"/>
          </w:tcPr>
          <w:p>
            <w:pPr>
              <w:spacing w:line="240" w:lineRule="atLeast"/>
              <w:rPr>
                <w:rFonts w:hint="eastAsia" w:ascii="宋体" w:hAnsi="宋体" w:eastAsia="宋体" w:cs="宋体"/>
                <w:sz w:val="24"/>
                <w:szCs w:val="24"/>
                <w:lang w:eastAsia="zh-CN"/>
              </w:rPr>
            </w:pPr>
            <w:r>
              <w:rPr>
                <w:rFonts w:hint="eastAsia" w:ascii="宋体" w:hAnsi="宋体" w:eastAsia="宋体" w:cs="宋体"/>
                <w:sz w:val="24"/>
                <w:szCs w:val="24"/>
              </w:rPr>
              <w:t>阜阳</w:t>
            </w:r>
            <w:r>
              <w:rPr>
                <w:rFonts w:hint="eastAsia" w:ascii="宋体" w:hAnsi="宋体" w:eastAsia="宋体" w:cs="宋体"/>
                <w:sz w:val="24"/>
                <w:szCs w:val="24"/>
                <w:lang w:eastAsia="zh-CN"/>
              </w:rPr>
              <w:t>市</w:t>
            </w:r>
            <w:r>
              <w:rPr>
                <w:rFonts w:hint="eastAsia" w:ascii="宋体" w:hAnsi="宋体" w:eastAsia="宋体" w:cs="宋体"/>
                <w:sz w:val="24"/>
                <w:szCs w:val="24"/>
              </w:rPr>
              <w:t>医药管理学校</w:t>
            </w:r>
            <w:r>
              <w:rPr>
                <w:rFonts w:hint="eastAsia" w:ascii="宋体" w:hAnsi="宋体" w:eastAsia="宋体" w:cs="宋体"/>
                <w:sz w:val="24"/>
                <w:szCs w:val="24"/>
                <w:lang w:eastAsia="zh-CN"/>
              </w:rPr>
              <w:t>（阜阳技师学院）</w:t>
            </w:r>
          </w:p>
          <w:p>
            <w:pPr>
              <w:spacing w:line="240" w:lineRule="atLeast"/>
              <w:jc w:val="center"/>
              <w:rPr>
                <w:rFonts w:ascii="宋体" w:hAnsi="宋体" w:eastAsia="宋体" w:cs="宋体"/>
                <w:sz w:val="24"/>
                <w:szCs w:val="24"/>
              </w:rPr>
            </w:pPr>
          </w:p>
          <w:p>
            <w:pPr>
              <w:spacing w:line="240" w:lineRule="atLeast"/>
              <w:jc w:val="center"/>
              <w:rPr>
                <w:rFonts w:ascii="宋体" w:hAnsi="宋体" w:eastAsia="宋体" w:cs="宋体"/>
                <w:sz w:val="24"/>
                <w:szCs w:val="24"/>
              </w:rPr>
            </w:pPr>
          </w:p>
        </w:tc>
        <w:tc>
          <w:tcPr>
            <w:tcW w:w="1080" w:type="dxa"/>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公办</w:t>
            </w:r>
          </w:p>
        </w:tc>
        <w:tc>
          <w:tcPr>
            <w:tcW w:w="1058" w:type="dxa"/>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380.12</w:t>
            </w:r>
          </w:p>
        </w:tc>
        <w:tc>
          <w:tcPr>
            <w:tcW w:w="1182" w:type="dxa"/>
            <w:vAlign w:val="center"/>
          </w:tcPr>
          <w:p>
            <w:pPr>
              <w:adjustRightInd w:val="0"/>
              <w:snapToGrid w:val="0"/>
              <w:spacing w:line="220" w:lineRule="atLeast"/>
              <w:jc w:val="center"/>
              <w:rPr>
                <w:rFonts w:hint="eastAsia" w:ascii="宋体" w:hAnsi="宋体" w:eastAsia="宋体"/>
                <w:bCs/>
                <w:sz w:val="24"/>
                <w:szCs w:val="24"/>
              </w:rPr>
            </w:pPr>
            <w:r>
              <w:rPr>
                <w:rFonts w:hint="eastAsia" w:ascii="宋体" w:hAnsi="宋体" w:eastAsia="宋体"/>
                <w:bCs/>
                <w:sz w:val="24"/>
                <w:szCs w:val="24"/>
              </w:rPr>
              <w:t>75051.94</w:t>
            </w:r>
          </w:p>
        </w:tc>
        <w:tc>
          <w:tcPr>
            <w:tcW w:w="1004" w:type="dxa"/>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7570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1" w:hRule="exact"/>
          <w:jc w:val="center"/>
        </w:trPr>
        <w:tc>
          <w:tcPr>
            <w:tcW w:w="1446" w:type="dxa"/>
            <w:vAlign w:val="center"/>
          </w:tcPr>
          <w:p>
            <w:pPr>
              <w:spacing w:line="240" w:lineRule="atLeast"/>
              <w:jc w:val="center"/>
              <w:rPr>
                <w:rFonts w:hint="eastAsia" w:ascii="宋体" w:hAnsi="宋体" w:eastAsia="宋体" w:cs="宋体"/>
                <w:sz w:val="24"/>
                <w:szCs w:val="24"/>
                <w:lang w:eastAsia="zh-CN"/>
              </w:rPr>
            </w:pPr>
            <w:r>
              <w:rPr>
                <w:rFonts w:ascii="宋体" w:hAnsi="宋体" w:eastAsia="宋体"/>
                <w:sz w:val="24"/>
                <w:szCs w:val="24"/>
              </w:rPr>
              <w:t>201</w:t>
            </w:r>
            <w:r>
              <w:rPr>
                <w:rFonts w:hint="eastAsia" w:ascii="宋体" w:hAnsi="宋体" w:eastAsia="宋体"/>
                <w:sz w:val="24"/>
                <w:szCs w:val="24"/>
                <w:lang w:val="en-US" w:eastAsia="zh-CN"/>
              </w:rPr>
              <w:t>8</w:t>
            </w:r>
            <w:r>
              <w:rPr>
                <w:rFonts w:ascii="宋体" w:hAnsi="宋体" w:eastAsia="宋体"/>
                <w:sz w:val="24"/>
                <w:szCs w:val="24"/>
              </w:rPr>
              <w:t>～201</w:t>
            </w:r>
            <w:r>
              <w:rPr>
                <w:rFonts w:hint="eastAsia" w:ascii="宋体" w:hAnsi="宋体" w:eastAsia="宋体"/>
                <w:sz w:val="24"/>
                <w:szCs w:val="24"/>
                <w:lang w:val="en-US" w:eastAsia="zh-CN"/>
              </w:rPr>
              <w:t>9</w:t>
            </w:r>
          </w:p>
        </w:tc>
        <w:tc>
          <w:tcPr>
            <w:tcW w:w="3607" w:type="dxa"/>
            <w:vAlign w:val="center"/>
          </w:tcPr>
          <w:p>
            <w:pPr>
              <w:spacing w:line="240" w:lineRule="atLeast"/>
              <w:rPr>
                <w:rFonts w:hint="eastAsia" w:ascii="宋体" w:hAnsi="宋体" w:eastAsia="宋体" w:cs="宋体"/>
                <w:sz w:val="24"/>
                <w:szCs w:val="24"/>
                <w:lang w:eastAsia="zh-CN"/>
              </w:rPr>
            </w:pPr>
            <w:r>
              <w:rPr>
                <w:rFonts w:hint="eastAsia" w:ascii="宋体" w:hAnsi="宋体" w:eastAsia="宋体" w:cs="宋体"/>
                <w:sz w:val="24"/>
                <w:szCs w:val="24"/>
              </w:rPr>
              <w:t>阜阳</w:t>
            </w:r>
            <w:r>
              <w:rPr>
                <w:rFonts w:hint="eastAsia" w:ascii="宋体" w:hAnsi="宋体" w:eastAsia="宋体" w:cs="宋体"/>
                <w:sz w:val="24"/>
                <w:szCs w:val="24"/>
                <w:lang w:eastAsia="zh-CN"/>
              </w:rPr>
              <w:t>市</w:t>
            </w:r>
            <w:r>
              <w:rPr>
                <w:rFonts w:hint="eastAsia" w:ascii="宋体" w:hAnsi="宋体" w:eastAsia="宋体" w:cs="宋体"/>
                <w:sz w:val="24"/>
                <w:szCs w:val="24"/>
              </w:rPr>
              <w:t>医药管理学校</w:t>
            </w:r>
            <w:r>
              <w:rPr>
                <w:rFonts w:hint="eastAsia" w:ascii="宋体" w:hAnsi="宋体" w:eastAsia="宋体" w:cs="宋体"/>
                <w:sz w:val="24"/>
                <w:szCs w:val="24"/>
                <w:lang w:eastAsia="zh-CN"/>
              </w:rPr>
              <w:t>（阜阳技师学院）</w:t>
            </w:r>
          </w:p>
          <w:p>
            <w:pPr>
              <w:spacing w:line="240" w:lineRule="atLeast"/>
              <w:jc w:val="center"/>
              <w:rPr>
                <w:rFonts w:ascii="宋体" w:hAnsi="宋体" w:eastAsia="宋体" w:cs="宋体"/>
                <w:sz w:val="24"/>
                <w:szCs w:val="24"/>
              </w:rPr>
            </w:pPr>
          </w:p>
        </w:tc>
        <w:tc>
          <w:tcPr>
            <w:tcW w:w="1080" w:type="dxa"/>
            <w:vAlign w:val="center"/>
          </w:tcPr>
          <w:p>
            <w:pPr>
              <w:spacing w:line="240" w:lineRule="atLeast"/>
              <w:jc w:val="center"/>
              <w:rPr>
                <w:rFonts w:ascii="宋体" w:hAnsi="宋体" w:eastAsia="宋体" w:cs="宋体"/>
                <w:sz w:val="24"/>
                <w:szCs w:val="24"/>
              </w:rPr>
            </w:pPr>
            <w:r>
              <w:rPr>
                <w:rFonts w:hint="eastAsia" w:ascii="宋体" w:hAnsi="宋体" w:eastAsia="宋体" w:cs="宋体"/>
                <w:sz w:val="24"/>
                <w:szCs w:val="24"/>
              </w:rPr>
              <w:t>公办</w:t>
            </w:r>
          </w:p>
        </w:tc>
        <w:tc>
          <w:tcPr>
            <w:tcW w:w="1058" w:type="dxa"/>
            <w:vAlign w:val="center"/>
          </w:tcPr>
          <w:p>
            <w:pPr>
              <w:spacing w:line="240" w:lineRule="atLeast"/>
              <w:jc w:val="center"/>
              <w:rPr>
                <w:rFonts w:ascii="宋体" w:hAnsi="宋体" w:eastAsia="宋体" w:cs="宋体"/>
                <w:sz w:val="24"/>
                <w:szCs w:val="24"/>
              </w:rPr>
            </w:pPr>
            <w:r>
              <w:rPr>
                <w:rFonts w:hint="eastAsia" w:ascii="宋体" w:hAnsi="宋体" w:eastAsia="宋体" w:cs="宋体"/>
                <w:sz w:val="24"/>
                <w:szCs w:val="24"/>
              </w:rPr>
              <w:t>380.12</w:t>
            </w:r>
          </w:p>
        </w:tc>
        <w:tc>
          <w:tcPr>
            <w:tcW w:w="1182" w:type="dxa"/>
            <w:vAlign w:val="center"/>
          </w:tcPr>
          <w:p>
            <w:pPr>
              <w:adjustRightInd w:val="0"/>
              <w:snapToGrid w:val="0"/>
              <w:spacing w:line="220" w:lineRule="atLeast"/>
              <w:jc w:val="center"/>
              <w:rPr>
                <w:rFonts w:ascii="宋体" w:hAnsi="宋体" w:eastAsia="宋体"/>
                <w:bCs/>
                <w:sz w:val="24"/>
                <w:szCs w:val="24"/>
              </w:rPr>
            </w:pPr>
            <w:r>
              <w:rPr>
                <w:rFonts w:hint="eastAsia" w:ascii="宋体" w:hAnsi="宋体" w:eastAsia="宋体"/>
                <w:bCs/>
                <w:sz w:val="24"/>
                <w:szCs w:val="24"/>
              </w:rPr>
              <w:t>75051.94</w:t>
            </w:r>
          </w:p>
        </w:tc>
        <w:tc>
          <w:tcPr>
            <w:tcW w:w="1004" w:type="dxa"/>
            <w:vAlign w:val="center"/>
          </w:tcPr>
          <w:p>
            <w:pPr>
              <w:spacing w:line="240" w:lineRule="atLeast"/>
              <w:jc w:val="center"/>
              <w:rPr>
                <w:rFonts w:hint="eastAsia" w:ascii="宋体" w:hAnsi="宋体" w:eastAsia="宋体" w:cs="宋体"/>
                <w:sz w:val="24"/>
                <w:szCs w:val="24"/>
                <w:highlight w:val="yellow"/>
              </w:rPr>
            </w:pPr>
            <w:r>
              <w:rPr>
                <w:rFonts w:hint="eastAsia" w:ascii="宋体" w:hAnsi="宋体" w:eastAsia="宋体" w:cs="宋体"/>
                <w:color w:val="auto"/>
                <w:sz w:val="24"/>
                <w:szCs w:val="24"/>
                <w:highlight w:val="none"/>
                <w:shd w:val="clear"/>
                <w:lang w:val="en-US" w:eastAsia="zh-CN"/>
              </w:rPr>
              <w:t>83</w:t>
            </w:r>
            <w:r>
              <w:rPr>
                <w:rFonts w:hint="eastAsia" w:ascii="宋体" w:hAnsi="宋体" w:eastAsia="宋体" w:cs="宋体"/>
                <w:color w:val="auto"/>
                <w:sz w:val="24"/>
                <w:szCs w:val="24"/>
                <w:highlight w:val="none"/>
                <w:shd w:val="clear"/>
              </w:rPr>
              <w:t>70</w:t>
            </w:r>
          </w:p>
        </w:tc>
      </w:tr>
    </w:tbl>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1.2学生情况。</w:t>
      </w:r>
      <w:r>
        <w:rPr>
          <w:rFonts w:ascii="宋体" w:hAnsi="宋体" w:eastAsia="宋体" w:cs="宋体"/>
          <w:kern w:val="0"/>
          <w:sz w:val="24"/>
          <w:szCs w:val="24"/>
        </w:rPr>
        <w:br w:type="textWrapping"/>
      </w:r>
      <w:r>
        <w:rPr>
          <w:rFonts w:ascii="宋体" w:hAnsi="宋体" w:eastAsia="宋体" w:cs="宋体"/>
          <w:kern w:val="0"/>
          <w:sz w:val="24"/>
          <w:szCs w:val="24"/>
        </w:rPr>
        <w:t>1.2.1 招生规模。</w:t>
      </w:r>
      <w:r>
        <w:rPr>
          <w:rFonts w:ascii="宋体" w:hAnsi="宋体" w:eastAsia="宋体" w:cs="宋体"/>
          <w:kern w:val="0"/>
          <w:sz w:val="24"/>
          <w:szCs w:val="24"/>
        </w:rPr>
        <w:br w:type="textWrapping"/>
      </w:r>
      <w:r>
        <w:rPr>
          <w:rFonts w:ascii="宋体" w:hAnsi="宋体" w:eastAsia="宋体" w:cs="宋体"/>
          <w:kern w:val="0"/>
          <w:sz w:val="24"/>
          <w:szCs w:val="24"/>
        </w:rPr>
        <w:t>201</w:t>
      </w:r>
      <w:r>
        <w:rPr>
          <w:rFonts w:hint="eastAsia" w:ascii="宋体" w:hAnsi="宋体" w:eastAsia="宋体" w:cs="宋体"/>
          <w:kern w:val="0"/>
          <w:sz w:val="24"/>
          <w:szCs w:val="24"/>
          <w:lang w:val="en-US" w:eastAsia="zh-CN"/>
        </w:rPr>
        <w:t>9</w:t>
      </w:r>
      <w:r>
        <w:rPr>
          <w:rFonts w:ascii="宋体" w:hAnsi="宋体" w:eastAsia="宋体" w:cs="宋体"/>
          <w:kern w:val="0"/>
          <w:sz w:val="24"/>
          <w:szCs w:val="24"/>
        </w:rPr>
        <w:t>年，学校实际招生人数</w:t>
      </w: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83</w:t>
      </w:r>
      <w:r>
        <w:rPr>
          <w:rFonts w:ascii="宋体" w:hAnsi="宋体" w:eastAsia="宋体" w:cs="宋体"/>
          <w:kern w:val="0"/>
          <w:sz w:val="24"/>
          <w:szCs w:val="24"/>
        </w:rPr>
        <w:t>人</w:t>
      </w:r>
      <w:r>
        <w:rPr>
          <w:rFonts w:hint="eastAsia" w:ascii="宋体" w:hAnsi="宋体" w:eastAsia="宋体" w:cs="宋体"/>
          <w:kern w:val="0"/>
          <w:sz w:val="24"/>
          <w:szCs w:val="24"/>
        </w:rPr>
        <w:t>，</w:t>
      </w:r>
      <w:r>
        <w:rPr>
          <w:rFonts w:ascii="宋体" w:hAnsi="宋体" w:eastAsia="宋体" w:cs="宋体"/>
          <w:kern w:val="0"/>
          <w:sz w:val="24"/>
          <w:szCs w:val="24"/>
        </w:rPr>
        <w:t>招生以应届初中毕业生为主</w:t>
      </w:r>
      <w:r>
        <w:rPr>
          <w:rFonts w:hint="eastAsia" w:ascii="宋体" w:hAnsi="宋体" w:eastAsia="宋体" w:cs="宋体"/>
          <w:kern w:val="0"/>
          <w:sz w:val="24"/>
          <w:szCs w:val="24"/>
        </w:rPr>
        <w:t>。</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1.2.2在校生规模及结构。</w:t>
      </w:r>
      <w:r>
        <w:rPr>
          <w:rFonts w:ascii="宋体" w:hAnsi="宋体" w:eastAsia="宋体" w:cs="宋体"/>
          <w:kern w:val="0"/>
          <w:sz w:val="24"/>
          <w:szCs w:val="24"/>
        </w:rPr>
        <w:br w:type="textWrapping"/>
      </w:r>
      <w:r>
        <w:rPr>
          <w:rFonts w:ascii="宋体" w:hAnsi="宋体" w:eastAsia="宋体" w:cs="宋体"/>
          <w:kern w:val="0"/>
          <w:sz w:val="24"/>
          <w:szCs w:val="24"/>
        </w:rPr>
        <w:t>目前学校共有全日制在校生</w:t>
      </w:r>
      <w:r>
        <w:rPr>
          <w:rFonts w:hint="eastAsia" w:ascii="宋体" w:hAnsi="宋体" w:eastAsia="宋体" w:cs="宋体"/>
          <w:kern w:val="0"/>
          <w:sz w:val="24"/>
          <w:szCs w:val="24"/>
          <w:lang w:val="en-US" w:eastAsia="zh-CN"/>
        </w:rPr>
        <w:t>1214</w:t>
      </w:r>
      <w:r>
        <w:rPr>
          <w:rFonts w:ascii="宋体" w:hAnsi="宋体" w:eastAsia="宋体" w:cs="宋体"/>
          <w:kern w:val="0"/>
          <w:sz w:val="24"/>
          <w:szCs w:val="24"/>
        </w:rPr>
        <w:t>人，比上一年度的在校生</w:t>
      </w:r>
      <w:r>
        <w:rPr>
          <w:rFonts w:hint="eastAsia" w:ascii="宋体" w:hAnsi="宋体" w:eastAsia="宋体" w:cs="宋体"/>
          <w:kern w:val="0"/>
          <w:sz w:val="24"/>
          <w:szCs w:val="24"/>
          <w:lang w:val="en-US" w:eastAsia="zh-CN"/>
        </w:rPr>
        <w:t>1064</w:t>
      </w:r>
      <w:r>
        <w:rPr>
          <w:rFonts w:ascii="宋体" w:hAnsi="宋体" w:eastAsia="宋体" w:cs="宋体"/>
          <w:kern w:val="0"/>
          <w:sz w:val="24"/>
          <w:szCs w:val="24"/>
        </w:rPr>
        <w:t>人规模增加</w:t>
      </w:r>
      <w:r>
        <w:rPr>
          <w:rFonts w:hint="eastAsia" w:ascii="宋体" w:hAnsi="宋体" w:eastAsia="宋体" w:cs="宋体"/>
          <w:kern w:val="0"/>
          <w:sz w:val="24"/>
          <w:szCs w:val="24"/>
          <w:lang w:val="en-US" w:eastAsia="zh-CN"/>
        </w:rPr>
        <w:t>150</w:t>
      </w:r>
      <w:r>
        <w:rPr>
          <w:rFonts w:ascii="宋体" w:hAnsi="宋体" w:eastAsia="宋体" w:cs="宋体"/>
          <w:kern w:val="0"/>
          <w:sz w:val="24"/>
          <w:szCs w:val="24"/>
        </w:rPr>
        <w:t>人。</w:t>
      </w:r>
      <w:r>
        <w:rPr>
          <w:rFonts w:ascii="宋体" w:hAnsi="宋体" w:eastAsia="宋体" w:cs="宋体"/>
          <w:kern w:val="0"/>
          <w:sz w:val="24"/>
          <w:szCs w:val="24"/>
        </w:rPr>
        <w:br w:type="textWrapping"/>
      </w:r>
      <w:r>
        <w:rPr>
          <w:rFonts w:ascii="宋体" w:hAnsi="宋体" w:eastAsia="宋体" w:cs="宋体"/>
          <w:kern w:val="0"/>
          <w:sz w:val="24"/>
          <w:szCs w:val="24"/>
        </w:rPr>
        <w:t>1.2.3毕业生规模。</w:t>
      </w:r>
      <w:r>
        <w:rPr>
          <w:rFonts w:ascii="宋体" w:hAnsi="宋体" w:eastAsia="宋体" w:cs="宋体"/>
          <w:kern w:val="0"/>
          <w:sz w:val="24"/>
          <w:szCs w:val="24"/>
        </w:rPr>
        <w:br w:type="textWrapping"/>
      </w:r>
      <w:r>
        <w:rPr>
          <w:rFonts w:ascii="宋体" w:hAnsi="宋体" w:eastAsia="宋体" w:cs="宋体"/>
          <w:kern w:val="0"/>
          <w:sz w:val="24"/>
          <w:szCs w:val="24"/>
        </w:rPr>
        <w:t>201</w:t>
      </w:r>
      <w:r>
        <w:rPr>
          <w:rFonts w:hint="eastAsia" w:ascii="宋体" w:hAnsi="宋体" w:eastAsia="宋体" w:cs="宋体"/>
          <w:kern w:val="0"/>
          <w:sz w:val="24"/>
          <w:szCs w:val="24"/>
          <w:lang w:val="en-US" w:eastAsia="zh-CN"/>
        </w:rPr>
        <w:t>9</w:t>
      </w:r>
      <w:r>
        <w:rPr>
          <w:rFonts w:ascii="宋体" w:hAnsi="宋体" w:eastAsia="宋体" w:cs="宋体"/>
          <w:kern w:val="0"/>
          <w:sz w:val="24"/>
          <w:szCs w:val="24"/>
        </w:rPr>
        <w:t>年，学校全日制毕业生</w:t>
      </w:r>
      <w:r>
        <w:rPr>
          <w:rFonts w:hint="eastAsia" w:ascii="宋体" w:hAnsi="宋体" w:eastAsia="宋体" w:cs="宋体"/>
          <w:kern w:val="0"/>
          <w:sz w:val="24"/>
          <w:szCs w:val="24"/>
          <w:lang w:val="en-US" w:eastAsia="zh-CN"/>
        </w:rPr>
        <w:t>265</w:t>
      </w:r>
      <w:r>
        <w:rPr>
          <w:rFonts w:ascii="宋体" w:hAnsi="宋体" w:eastAsia="宋体" w:cs="宋体"/>
          <w:kern w:val="0"/>
          <w:sz w:val="24"/>
          <w:szCs w:val="24"/>
        </w:rPr>
        <w:t>人，巩固率</w:t>
      </w:r>
      <w:r>
        <w:rPr>
          <w:rFonts w:hint="eastAsia" w:ascii="宋体" w:hAnsi="宋体" w:eastAsia="宋体" w:cs="宋体"/>
          <w:kern w:val="0"/>
          <w:sz w:val="24"/>
          <w:szCs w:val="24"/>
        </w:rPr>
        <w:t>8</w:t>
      </w:r>
      <w:r>
        <w:rPr>
          <w:rFonts w:hint="eastAsia" w:ascii="宋体" w:hAnsi="宋体" w:eastAsia="宋体" w:cs="宋体"/>
          <w:kern w:val="0"/>
          <w:sz w:val="24"/>
          <w:szCs w:val="24"/>
          <w:lang w:val="en-US" w:eastAsia="zh-CN"/>
        </w:rPr>
        <w:t>5</w:t>
      </w:r>
      <w:r>
        <w:rPr>
          <w:rFonts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kern w:val="0"/>
          <w:sz w:val="24"/>
          <w:szCs w:val="24"/>
        </w:rPr>
        <w:t>1.2.4短期培训规模。</w:t>
      </w:r>
      <w:r>
        <w:rPr>
          <w:rFonts w:ascii="宋体" w:hAnsi="宋体" w:eastAsia="宋体" w:cs="宋体"/>
          <w:kern w:val="0"/>
          <w:sz w:val="24"/>
          <w:szCs w:val="24"/>
        </w:rPr>
        <w:br w:type="textWrapping"/>
      </w:r>
      <w:r>
        <w:rPr>
          <w:rFonts w:ascii="宋体" w:hAnsi="宋体" w:eastAsia="宋体" w:cs="宋体"/>
          <w:kern w:val="0"/>
          <w:sz w:val="24"/>
          <w:szCs w:val="24"/>
        </w:rPr>
        <w:t>201</w:t>
      </w:r>
      <w:r>
        <w:rPr>
          <w:rFonts w:hint="eastAsia" w:ascii="宋体" w:hAnsi="宋体" w:eastAsia="宋体" w:cs="宋体"/>
          <w:kern w:val="0"/>
          <w:sz w:val="24"/>
          <w:szCs w:val="24"/>
          <w:lang w:val="en-US" w:eastAsia="zh-CN"/>
        </w:rPr>
        <w:t>9</w:t>
      </w:r>
      <w:r>
        <w:rPr>
          <w:rFonts w:ascii="宋体" w:hAnsi="宋体" w:eastAsia="宋体" w:cs="宋体"/>
          <w:kern w:val="0"/>
          <w:sz w:val="24"/>
          <w:szCs w:val="24"/>
        </w:rPr>
        <w:t>年，学校举行职业培训总数为</w:t>
      </w:r>
      <w:r>
        <w:rPr>
          <w:rFonts w:hint="eastAsia" w:ascii="宋体" w:hAnsi="宋体" w:eastAsia="宋体" w:cs="宋体"/>
          <w:sz w:val="24"/>
          <w:szCs w:val="24"/>
          <w:lang w:val="en-US" w:eastAsia="zh-CN"/>
        </w:rPr>
        <w:t>1696</w:t>
      </w:r>
      <w:r>
        <w:rPr>
          <w:rFonts w:ascii="宋体" w:hAnsi="宋体" w:eastAsia="宋体" w:cs="宋体"/>
          <w:kern w:val="0"/>
          <w:sz w:val="24"/>
          <w:szCs w:val="24"/>
        </w:rPr>
        <w:t>人次，比上一年增加</w:t>
      </w:r>
      <w:r>
        <w:rPr>
          <w:rFonts w:hint="eastAsia" w:ascii="宋体" w:hAnsi="宋体" w:eastAsia="宋体" w:cs="宋体"/>
          <w:kern w:val="0"/>
          <w:sz w:val="24"/>
          <w:szCs w:val="24"/>
          <w:lang w:val="en-US" w:eastAsia="zh-CN"/>
        </w:rPr>
        <w:t>632</w:t>
      </w:r>
      <w:r>
        <w:rPr>
          <w:rFonts w:ascii="宋体" w:hAnsi="宋体" w:eastAsia="宋体" w:cs="宋体"/>
          <w:kern w:val="0"/>
          <w:sz w:val="24"/>
          <w:szCs w:val="24"/>
        </w:rPr>
        <w:t>人</w:t>
      </w:r>
      <w:r>
        <w:rPr>
          <w:rFonts w:hint="eastAsia" w:ascii="宋体" w:hAnsi="宋体" w:eastAsia="宋体" w:cs="宋体"/>
          <w:kern w:val="0"/>
          <w:sz w:val="24"/>
          <w:szCs w:val="24"/>
          <w:lang w:val="en-US" w:eastAsia="zh-CN"/>
        </w:rPr>
        <w:t>次</w:t>
      </w:r>
      <w:r>
        <w:rPr>
          <w:rFonts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kern w:val="0"/>
          <w:sz w:val="24"/>
          <w:szCs w:val="24"/>
        </w:rPr>
        <w:t>表1-2 近两学年中等职业学校规模结构情况一览表</w:t>
      </w:r>
    </w:p>
    <w:tbl>
      <w:tblPr>
        <w:tblStyle w:val="5"/>
        <w:tblW w:w="969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46"/>
        <w:gridCol w:w="900"/>
        <w:gridCol w:w="951"/>
        <w:gridCol w:w="908"/>
        <w:gridCol w:w="1072"/>
        <w:gridCol w:w="805"/>
        <w:gridCol w:w="944"/>
        <w:gridCol w:w="847"/>
        <w:gridCol w:w="1080"/>
        <w:gridCol w:w="8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 w:hRule="atLeast"/>
          <w:jc w:val="center"/>
        </w:trPr>
        <w:tc>
          <w:tcPr>
            <w:tcW w:w="1346" w:type="dxa"/>
            <w:vMerge w:val="restart"/>
            <w:vAlign w:val="center"/>
          </w:tcPr>
          <w:p>
            <w:pPr>
              <w:spacing w:line="240" w:lineRule="exact"/>
              <w:jc w:val="center"/>
              <w:rPr>
                <w:rFonts w:ascii="宋体" w:hAnsi="宋体" w:eastAsia="宋体" w:cs="宋体"/>
                <w:bCs/>
                <w:sz w:val="24"/>
                <w:szCs w:val="24"/>
              </w:rPr>
            </w:pPr>
            <w:r>
              <w:rPr>
                <w:rFonts w:hint="eastAsia" w:ascii="宋体" w:hAnsi="宋体" w:eastAsia="宋体"/>
                <w:bCs/>
                <w:sz w:val="24"/>
                <w:szCs w:val="24"/>
              </w:rPr>
              <w:t>学年度</w:t>
            </w:r>
          </w:p>
        </w:tc>
        <w:tc>
          <w:tcPr>
            <w:tcW w:w="1851" w:type="dxa"/>
            <w:gridSpan w:val="2"/>
            <w:vAlign w:val="center"/>
          </w:tcPr>
          <w:p>
            <w:pPr>
              <w:spacing w:line="240" w:lineRule="exact"/>
              <w:jc w:val="center"/>
              <w:rPr>
                <w:rFonts w:ascii="宋体" w:hAnsi="宋体" w:eastAsia="宋体" w:cs="宋体"/>
                <w:bCs/>
                <w:sz w:val="24"/>
                <w:szCs w:val="24"/>
              </w:rPr>
            </w:pPr>
            <w:r>
              <w:rPr>
                <w:rFonts w:hint="eastAsia" w:ascii="宋体" w:hAnsi="宋体" w:eastAsia="宋体"/>
                <w:bCs/>
                <w:sz w:val="24"/>
                <w:szCs w:val="24"/>
              </w:rPr>
              <w:t>招生（人）</w:t>
            </w:r>
          </w:p>
        </w:tc>
        <w:tc>
          <w:tcPr>
            <w:tcW w:w="1980" w:type="dxa"/>
            <w:gridSpan w:val="2"/>
            <w:vAlign w:val="center"/>
          </w:tcPr>
          <w:p>
            <w:pPr>
              <w:spacing w:line="240" w:lineRule="exact"/>
              <w:jc w:val="center"/>
              <w:rPr>
                <w:rFonts w:ascii="宋体" w:hAnsi="宋体" w:eastAsia="宋体" w:cs="宋体"/>
                <w:bCs/>
                <w:sz w:val="24"/>
                <w:szCs w:val="24"/>
              </w:rPr>
            </w:pPr>
            <w:r>
              <w:rPr>
                <w:rFonts w:hint="eastAsia" w:ascii="宋体" w:hAnsi="宋体" w:eastAsia="宋体"/>
                <w:bCs/>
                <w:sz w:val="24"/>
                <w:szCs w:val="24"/>
              </w:rPr>
              <w:t>在校生（人）</w:t>
            </w:r>
          </w:p>
        </w:tc>
        <w:tc>
          <w:tcPr>
            <w:tcW w:w="1749" w:type="dxa"/>
            <w:gridSpan w:val="2"/>
            <w:vAlign w:val="center"/>
          </w:tcPr>
          <w:p>
            <w:pPr>
              <w:spacing w:line="240" w:lineRule="exact"/>
              <w:jc w:val="center"/>
              <w:rPr>
                <w:rFonts w:ascii="宋体" w:hAnsi="宋体" w:eastAsia="宋体" w:cs="宋体"/>
                <w:bCs/>
                <w:sz w:val="24"/>
                <w:szCs w:val="24"/>
              </w:rPr>
            </w:pPr>
            <w:r>
              <w:rPr>
                <w:rFonts w:hint="eastAsia" w:ascii="宋体" w:hAnsi="宋体" w:eastAsia="宋体"/>
                <w:bCs/>
                <w:sz w:val="24"/>
                <w:szCs w:val="24"/>
              </w:rPr>
              <w:t>毕业生（人）</w:t>
            </w:r>
          </w:p>
        </w:tc>
        <w:tc>
          <w:tcPr>
            <w:tcW w:w="1927" w:type="dxa"/>
            <w:gridSpan w:val="2"/>
            <w:vAlign w:val="center"/>
          </w:tcPr>
          <w:p>
            <w:pPr>
              <w:adjustRightInd w:val="0"/>
              <w:snapToGrid w:val="0"/>
              <w:spacing w:line="0" w:lineRule="atLeast"/>
              <w:jc w:val="center"/>
              <w:rPr>
                <w:rFonts w:ascii="宋体" w:hAnsi="宋体" w:eastAsia="宋体"/>
                <w:bCs/>
                <w:sz w:val="24"/>
                <w:szCs w:val="24"/>
              </w:rPr>
            </w:pPr>
            <w:r>
              <w:rPr>
                <w:rFonts w:hint="eastAsia" w:ascii="宋体" w:hAnsi="宋体" w:eastAsia="宋体"/>
                <w:bCs/>
                <w:sz w:val="24"/>
                <w:szCs w:val="24"/>
              </w:rPr>
              <w:t>巩固率</w:t>
            </w:r>
            <w:r>
              <w:rPr>
                <w:rFonts w:ascii="宋体" w:hAnsi="宋体" w:eastAsia="宋体"/>
                <w:bCs/>
                <w:sz w:val="24"/>
                <w:szCs w:val="24"/>
              </w:rPr>
              <w:t>（</w:t>
            </w:r>
            <w:r>
              <w:rPr>
                <w:rFonts w:hint="eastAsia" w:ascii="宋体" w:hAnsi="宋体" w:eastAsia="宋体"/>
                <w:bCs/>
                <w:sz w:val="24"/>
                <w:szCs w:val="24"/>
              </w:rPr>
              <w:t>%</w:t>
            </w:r>
            <w:r>
              <w:rPr>
                <w:rFonts w:ascii="宋体" w:hAnsi="宋体" w:eastAsia="宋体"/>
                <w:bCs/>
                <w:sz w:val="24"/>
                <w:szCs w:val="24"/>
              </w:rPr>
              <w:t>）</w:t>
            </w:r>
          </w:p>
        </w:tc>
        <w:tc>
          <w:tcPr>
            <w:tcW w:w="838" w:type="dxa"/>
            <w:vMerge w:val="restart"/>
            <w:vAlign w:val="center"/>
          </w:tcPr>
          <w:p>
            <w:pPr>
              <w:adjustRightInd w:val="0"/>
              <w:snapToGrid w:val="0"/>
              <w:spacing w:line="0" w:lineRule="atLeast"/>
              <w:jc w:val="center"/>
              <w:rPr>
                <w:rFonts w:hint="eastAsia" w:ascii="宋体" w:hAnsi="宋体" w:eastAsia="宋体"/>
                <w:bCs/>
                <w:sz w:val="24"/>
                <w:szCs w:val="24"/>
              </w:rPr>
            </w:pPr>
            <w:r>
              <w:rPr>
                <w:rFonts w:hint="eastAsia" w:ascii="宋体" w:hAnsi="宋体" w:eastAsia="宋体"/>
                <w:bCs/>
                <w:sz w:val="24"/>
                <w:szCs w:val="24"/>
              </w:rPr>
              <w:t>职业培训（人次）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5" w:hRule="atLeast"/>
          <w:jc w:val="center"/>
        </w:trPr>
        <w:tc>
          <w:tcPr>
            <w:tcW w:w="1346" w:type="dxa"/>
            <w:vMerge w:val="continue"/>
            <w:vAlign w:val="center"/>
          </w:tcPr>
          <w:p>
            <w:pPr>
              <w:spacing w:line="240" w:lineRule="exact"/>
              <w:jc w:val="center"/>
              <w:rPr>
                <w:rFonts w:ascii="宋体" w:hAnsi="宋体" w:eastAsia="宋体" w:cs="宋体"/>
                <w:bCs/>
                <w:sz w:val="24"/>
                <w:szCs w:val="24"/>
              </w:rPr>
            </w:pPr>
          </w:p>
        </w:tc>
        <w:tc>
          <w:tcPr>
            <w:tcW w:w="900" w:type="dxa"/>
            <w:vAlign w:val="center"/>
          </w:tcPr>
          <w:p>
            <w:pPr>
              <w:spacing w:line="240" w:lineRule="exact"/>
              <w:jc w:val="center"/>
              <w:rPr>
                <w:rFonts w:ascii="宋体" w:hAnsi="宋体" w:eastAsia="宋体" w:cs="宋体"/>
                <w:bCs/>
                <w:sz w:val="24"/>
                <w:szCs w:val="24"/>
              </w:rPr>
            </w:pPr>
            <w:r>
              <w:rPr>
                <w:rFonts w:hint="eastAsia" w:ascii="宋体" w:hAnsi="宋体" w:eastAsia="宋体"/>
                <w:bCs/>
                <w:sz w:val="24"/>
                <w:szCs w:val="24"/>
              </w:rPr>
              <w:t>全日制</w:t>
            </w:r>
          </w:p>
        </w:tc>
        <w:tc>
          <w:tcPr>
            <w:tcW w:w="951" w:type="dxa"/>
            <w:vAlign w:val="center"/>
          </w:tcPr>
          <w:p>
            <w:pPr>
              <w:spacing w:line="240" w:lineRule="exact"/>
              <w:jc w:val="center"/>
              <w:rPr>
                <w:rFonts w:ascii="宋体" w:hAnsi="宋体" w:eastAsia="宋体" w:cs="宋体"/>
                <w:bCs/>
                <w:sz w:val="24"/>
                <w:szCs w:val="24"/>
              </w:rPr>
            </w:pPr>
            <w:r>
              <w:rPr>
                <w:rFonts w:hint="eastAsia" w:ascii="宋体" w:hAnsi="宋体" w:eastAsia="宋体"/>
                <w:bCs/>
                <w:sz w:val="24"/>
                <w:szCs w:val="24"/>
              </w:rPr>
              <w:t>非全日制</w:t>
            </w:r>
          </w:p>
        </w:tc>
        <w:tc>
          <w:tcPr>
            <w:tcW w:w="908" w:type="dxa"/>
            <w:vAlign w:val="center"/>
          </w:tcPr>
          <w:p>
            <w:pPr>
              <w:spacing w:line="240" w:lineRule="exact"/>
              <w:jc w:val="center"/>
              <w:rPr>
                <w:rFonts w:ascii="宋体" w:hAnsi="宋体" w:eastAsia="宋体" w:cs="宋体"/>
                <w:bCs/>
                <w:sz w:val="24"/>
                <w:szCs w:val="24"/>
              </w:rPr>
            </w:pPr>
            <w:r>
              <w:rPr>
                <w:rFonts w:hint="eastAsia" w:ascii="宋体" w:hAnsi="宋体" w:eastAsia="宋体"/>
                <w:bCs/>
                <w:sz w:val="24"/>
                <w:szCs w:val="24"/>
              </w:rPr>
              <w:t>全日制</w:t>
            </w:r>
          </w:p>
        </w:tc>
        <w:tc>
          <w:tcPr>
            <w:tcW w:w="1072" w:type="dxa"/>
            <w:vAlign w:val="center"/>
          </w:tcPr>
          <w:p>
            <w:pPr>
              <w:adjustRightInd w:val="0"/>
              <w:snapToGrid w:val="0"/>
              <w:spacing w:line="0" w:lineRule="atLeast"/>
              <w:jc w:val="center"/>
              <w:rPr>
                <w:rFonts w:ascii="宋体" w:hAnsi="宋体" w:eastAsia="宋体"/>
                <w:bCs/>
                <w:sz w:val="24"/>
                <w:szCs w:val="24"/>
              </w:rPr>
            </w:pPr>
            <w:r>
              <w:rPr>
                <w:rFonts w:hint="eastAsia" w:ascii="宋体" w:hAnsi="宋体" w:eastAsia="宋体"/>
                <w:bCs/>
                <w:sz w:val="24"/>
                <w:szCs w:val="24"/>
              </w:rPr>
              <w:t>非全日制</w:t>
            </w:r>
          </w:p>
        </w:tc>
        <w:tc>
          <w:tcPr>
            <w:tcW w:w="805" w:type="dxa"/>
            <w:vAlign w:val="center"/>
          </w:tcPr>
          <w:p>
            <w:pPr>
              <w:spacing w:line="240" w:lineRule="exact"/>
              <w:jc w:val="center"/>
              <w:rPr>
                <w:rFonts w:hint="eastAsia" w:ascii="宋体" w:hAnsi="宋体" w:eastAsia="宋体"/>
                <w:bCs/>
                <w:sz w:val="24"/>
                <w:szCs w:val="24"/>
              </w:rPr>
            </w:pPr>
            <w:r>
              <w:rPr>
                <w:rFonts w:hint="eastAsia" w:ascii="宋体" w:hAnsi="宋体" w:eastAsia="宋体"/>
                <w:bCs/>
                <w:sz w:val="24"/>
                <w:szCs w:val="24"/>
              </w:rPr>
              <w:t>全日制</w:t>
            </w:r>
          </w:p>
        </w:tc>
        <w:tc>
          <w:tcPr>
            <w:tcW w:w="944" w:type="dxa"/>
            <w:vAlign w:val="center"/>
          </w:tcPr>
          <w:p>
            <w:pPr>
              <w:spacing w:line="240" w:lineRule="exact"/>
              <w:jc w:val="center"/>
              <w:rPr>
                <w:rFonts w:ascii="宋体" w:hAnsi="宋体" w:eastAsia="宋体" w:cs="宋体"/>
                <w:bCs/>
                <w:sz w:val="24"/>
                <w:szCs w:val="24"/>
              </w:rPr>
            </w:pPr>
            <w:r>
              <w:rPr>
                <w:rFonts w:hint="eastAsia" w:ascii="宋体" w:hAnsi="宋体" w:eastAsia="宋体"/>
                <w:bCs/>
                <w:sz w:val="24"/>
                <w:szCs w:val="24"/>
              </w:rPr>
              <w:t>非全日制</w:t>
            </w:r>
          </w:p>
        </w:tc>
        <w:tc>
          <w:tcPr>
            <w:tcW w:w="847" w:type="dxa"/>
            <w:vAlign w:val="center"/>
          </w:tcPr>
          <w:p>
            <w:pPr>
              <w:spacing w:line="240" w:lineRule="exact"/>
              <w:jc w:val="center"/>
              <w:rPr>
                <w:rFonts w:ascii="宋体" w:hAnsi="宋体" w:eastAsia="宋体" w:cs="宋体"/>
                <w:bCs/>
                <w:sz w:val="24"/>
                <w:szCs w:val="24"/>
              </w:rPr>
            </w:pPr>
            <w:r>
              <w:rPr>
                <w:rFonts w:hint="eastAsia" w:ascii="宋体" w:hAnsi="宋体" w:eastAsia="宋体"/>
                <w:bCs/>
                <w:sz w:val="24"/>
                <w:szCs w:val="24"/>
              </w:rPr>
              <w:t>全日制</w:t>
            </w:r>
          </w:p>
        </w:tc>
        <w:tc>
          <w:tcPr>
            <w:tcW w:w="1080" w:type="dxa"/>
            <w:vAlign w:val="center"/>
          </w:tcPr>
          <w:p>
            <w:pPr>
              <w:spacing w:line="240" w:lineRule="exact"/>
              <w:jc w:val="center"/>
              <w:rPr>
                <w:rFonts w:ascii="宋体" w:hAnsi="宋体" w:eastAsia="宋体" w:cs="宋体"/>
                <w:bCs/>
                <w:sz w:val="24"/>
                <w:szCs w:val="24"/>
              </w:rPr>
            </w:pPr>
            <w:r>
              <w:rPr>
                <w:rFonts w:hint="eastAsia" w:ascii="宋体" w:hAnsi="宋体" w:eastAsia="宋体"/>
                <w:bCs/>
                <w:sz w:val="24"/>
                <w:szCs w:val="24"/>
              </w:rPr>
              <w:t>非全日制</w:t>
            </w:r>
          </w:p>
        </w:tc>
        <w:tc>
          <w:tcPr>
            <w:tcW w:w="838" w:type="dxa"/>
            <w:vMerge w:val="continue"/>
            <w:vAlign w:val="center"/>
          </w:tcPr>
          <w:p>
            <w:pPr>
              <w:spacing w:line="240" w:lineRule="exact"/>
              <w:jc w:val="center"/>
              <w:rPr>
                <w:rFonts w:ascii="宋体" w:hAnsi="宋体" w:eastAsia="宋体" w:cs="宋体"/>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6" w:hRule="exact"/>
          <w:jc w:val="center"/>
        </w:trPr>
        <w:tc>
          <w:tcPr>
            <w:tcW w:w="1346" w:type="dxa"/>
            <w:tcBorders>
              <w:bottom w:val="single" w:color="auto" w:sz="8" w:space="0"/>
            </w:tcBorders>
            <w:vAlign w:val="center"/>
          </w:tcPr>
          <w:p>
            <w:pPr>
              <w:spacing w:line="240" w:lineRule="atLeast"/>
              <w:jc w:val="center"/>
              <w:rPr>
                <w:rFonts w:hint="eastAsia" w:ascii="宋体" w:hAnsi="宋体" w:eastAsia="宋体" w:cs="宋体"/>
                <w:kern w:val="2"/>
                <w:sz w:val="24"/>
                <w:szCs w:val="24"/>
                <w:lang w:val="en-US" w:eastAsia="zh-CN" w:bidi="ar-SA"/>
              </w:rPr>
            </w:pPr>
            <w:r>
              <w:rPr>
                <w:rFonts w:ascii="宋体" w:hAnsi="宋体" w:eastAsia="宋体"/>
                <w:sz w:val="24"/>
                <w:szCs w:val="24"/>
              </w:rPr>
              <w:t>201</w:t>
            </w:r>
            <w:r>
              <w:rPr>
                <w:rFonts w:hint="eastAsia" w:ascii="宋体" w:hAnsi="宋体" w:eastAsia="宋体"/>
                <w:sz w:val="24"/>
                <w:szCs w:val="24"/>
              </w:rPr>
              <w:t>7</w:t>
            </w:r>
            <w:r>
              <w:rPr>
                <w:rFonts w:ascii="宋体" w:hAnsi="宋体" w:eastAsia="宋体"/>
                <w:sz w:val="24"/>
                <w:szCs w:val="24"/>
              </w:rPr>
              <w:t>～201</w:t>
            </w:r>
            <w:r>
              <w:rPr>
                <w:rFonts w:hint="eastAsia" w:ascii="宋体" w:hAnsi="宋体" w:eastAsia="宋体"/>
                <w:sz w:val="24"/>
                <w:szCs w:val="24"/>
              </w:rPr>
              <w:t>8</w:t>
            </w:r>
          </w:p>
        </w:tc>
        <w:tc>
          <w:tcPr>
            <w:tcW w:w="900" w:type="dxa"/>
            <w:tcBorders>
              <w:bottom w:val="single" w:color="auto" w:sz="8" w:space="0"/>
            </w:tcBorders>
            <w:vAlign w:val="center"/>
          </w:tcPr>
          <w:p>
            <w:pPr>
              <w:spacing w:line="240"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425</w:t>
            </w:r>
          </w:p>
        </w:tc>
        <w:tc>
          <w:tcPr>
            <w:tcW w:w="951" w:type="dxa"/>
            <w:tcBorders>
              <w:bottom w:val="single" w:color="auto" w:sz="8" w:space="0"/>
            </w:tcBorders>
            <w:vAlign w:val="center"/>
          </w:tcPr>
          <w:p>
            <w:pPr>
              <w:spacing w:line="240"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58</w:t>
            </w:r>
          </w:p>
        </w:tc>
        <w:tc>
          <w:tcPr>
            <w:tcW w:w="908" w:type="dxa"/>
            <w:tcBorders>
              <w:bottom w:val="single" w:color="auto" w:sz="8" w:space="0"/>
            </w:tcBorders>
            <w:vAlign w:val="center"/>
          </w:tcPr>
          <w:p>
            <w:pPr>
              <w:spacing w:line="240"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1064</w:t>
            </w:r>
          </w:p>
        </w:tc>
        <w:tc>
          <w:tcPr>
            <w:tcW w:w="1072" w:type="dxa"/>
            <w:tcBorders>
              <w:bottom w:val="single" w:color="auto" w:sz="8" w:space="0"/>
            </w:tcBorders>
            <w:vAlign w:val="center"/>
          </w:tcPr>
          <w:p>
            <w:pPr>
              <w:adjustRightInd w:val="0"/>
              <w:snapToGrid w:val="0"/>
              <w:spacing w:line="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123</w:t>
            </w:r>
          </w:p>
        </w:tc>
        <w:tc>
          <w:tcPr>
            <w:tcW w:w="805" w:type="dxa"/>
            <w:tcBorders>
              <w:bottom w:val="single" w:color="auto" w:sz="8" w:space="0"/>
            </w:tcBorders>
            <w:vAlign w:val="center"/>
          </w:tcPr>
          <w:p>
            <w:pPr>
              <w:spacing w:line="240"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335</w:t>
            </w:r>
          </w:p>
        </w:tc>
        <w:tc>
          <w:tcPr>
            <w:tcW w:w="944" w:type="dxa"/>
            <w:tcBorders>
              <w:bottom w:val="single" w:color="auto" w:sz="8" w:space="0"/>
            </w:tcBorders>
            <w:vAlign w:val="center"/>
          </w:tcPr>
          <w:p>
            <w:pPr>
              <w:spacing w:line="240"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203</w:t>
            </w:r>
          </w:p>
        </w:tc>
        <w:tc>
          <w:tcPr>
            <w:tcW w:w="847" w:type="dxa"/>
            <w:tcBorders>
              <w:bottom w:val="single" w:color="auto" w:sz="8" w:space="0"/>
            </w:tcBorders>
            <w:vAlign w:val="center"/>
          </w:tcPr>
          <w:p>
            <w:pPr>
              <w:spacing w:line="240" w:lineRule="atLeast"/>
              <w:jc w:val="center"/>
              <w:rPr>
                <w:rFonts w:ascii="宋体" w:hAnsi="宋体" w:eastAsia="宋体" w:cs="宋体"/>
                <w:kern w:val="2"/>
                <w:sz w:val="24"/>
                <w:szCs w:val="24"/>
                <w:lang w:val="en-US" w:eastAsia="zh-CN" w:bidi="ar-SA"/>
              </w:rPr>
            </w:pPr>
            <w:r>
              <w:rPr>
                <w:rFonts w:hint="eastAsia" w:ascii="宋体" w:hAnsi="宋体" w:eastAsia="宋体" w:cs="宋体"/>
                <w:sz w:val="24"/>
                <w:szCs w:val="24"/>
              </w:rPr>
              <w:t>86</w:t>
            </w:r>
          </w:p>
        </w:tc>
        <w:tc>
          <w:tcPr>
            <w:tcW w:w="1080" w:type="dxa"/>
            <w:tcBorders>
              <w:bottom w:val="single" w:color="auto" w:sz="8" w:space="0"/>
            </w:tcBorders>
            <w:vAlign w:val="center"/>
          </w:tcPr>
          <w:p>
            <w:pPr>
              <w:spacing w:line="240" w:lineRule="atLeast"/>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100</w:t>
            </w:r>
          </w:p>
        </w:tc>
        <w:tc>
          <w:tcPr>
            <w:tcW w:w="838" w:type="dxa"/>
            <w:tcBorders>
              <w:bottom w:val="single" w:color="auto" w:sz="8" w:space="0"/>
            </w:tcBorders>
            <w:vAlign w:val="center"/>
          </w:tcPr>
          <w:p>
            <w:pPr>
              <w:spacing w:line="240" w:lineRule="atLeast"/>
              <w:jc w:val="center"/>
              <w:rPr>
                <w:rFonts w:ascii="宋体" w:hAnsi="宋体" w:eastAsia="宋体" w:cs="宋体"/>
                <w:kern w:val="2"/>
                <w:sz w:val="24"/>
                <w:szCs w:val="24"/>
                <w:lang w:val="en-US" w:eastAsia="zh-CN" w:bidi="ar-SA"/>
              </w:rPr>
            </w:pPr>
            <w:r>
              <w:rPr>
                <w:rFonts w:hint="eastAsia" w:ascii="宋体" w:hAnsi="宋体" w:eastAsia="宋体" w:cs="宋体"/>
                <w:sz w:val="24"/>
                <w:szCs w:val="24"/>
              </w:rPr>
              <w:t>1064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6" w:hRule="exact"/>
          <w:jc w:val="center"/>
        </w:trPr>
        <w:tc>
          <w:tcPr>
            <w:tcW w:w="1346" w:type="dxa"/>
            <w:vAlign w:val="center"/>
          </w:tcPr>
          <w:p>
            <w:pPr>
              <w:spacing w:line="240" w:lineRule="atLeas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2018</w:t>
            </w:r>
            <w:r>
              <w:rPr>
                <w:rFonts w:ascii="宋体" w:hAnsi="宋体" w:eastAsia="宋体"/>
                <w:sz w:val="24"/>
                <w:szCs w:val="24"/>
              </w:rPr>
              <w:t>～</w:t>
            </w:r>
            <w:r>
              <w:rPr>
                <w:rFonts w:hint="eastAsia" w:ascii="宋体" w:hAnsi="宋体" w:eastAsia="宋体"/>
                <w:sz w:val="24"/>
                <w:szCs w:val="24"/>
                <w:lang w:val="en-US" w:eastAsia="zh-CN"/>
              </w:rPr>
              <w:t>2019</w:t>
            </w:r>
          </w:p>
        </w:tc>
        <w:tc>
          <w:tcPr>
            <w:tcW w:w="900" w:type="dxa"/>
            <w:vAlign w:val="center"/>
          </w:tcPr>
          <w:p>
            <w:pPr>
              <w:spacing w:line="240" w:lineRule="atLeas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415</w:t>
            </w:r>
          </w:p>
        </w:tc>
        <w:tc>
          <w:tcPr>
            <w:tcW w:w="951" w:type="dxa"/>
            <w:vAlign w:val="center"/>
          </w:tcPr>
          <w:p>
            <w:pPr>
              <w:spacing w:line="240" w:lineRule="atLeas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908" w:type="dxa"/>
            <w:vAlign w:val="center"/>
          </w:tcPr>
          <w:p>
            <w:pPr>
              <w:spacing w:line="240" w:lineRule="atLeas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1214</w:t>
            </w:r>
          </w:p>
        </w:tc>
        <w:tc>
          <w:tcPr>
            <w:tcW w:w="1072" w:type="dxa"/>
            <w:vAlign w:val="center"/>
          </w:tcPr>
          <w:p>
            <w:pPr>
              <w:adjustRightInd w:val="0"/>
              <w:snapToGrid w:val="0"/>
              <w:spacing w:line="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58</w:t>
            </w:r>
          </w:p>
        </w:tc>
        <w:tc>
          <w:tcPr>
            <w:tcW w:w="805" w:type="dxa"/>
            <w:vAlign w:val="center"/>
          </w:tcPr>
          <w:p>
            <w:pPr>
              <w:spacing w:line="240" w:lineRule="atLeas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265</w:t>
            </w:r>
          </w:p>
        </w:tc>
        <w:tc>
          <w:tcPr>
            <w:tcW w:w="944" w:type="dxa"/>
            <w:vAlign w:val="center"/>
          </w:tcPr>
          <w:p>
            <w:pPr>
              <w:spacing w:line="240" w:lineRule="atLeas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65</w:t>
            </w:r>
          </w:p>
        </w:tc>
        <w:tc>
          <w:tcPr>
            <w:tcW w:w="847" w:type="dxa"/>
            <w:vAlign w:val="center"/>
          </w:tcPr>
          <w:p>
            <w:pPr>
              <w:spacing w:line="240" w:lineRule="atLeas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85</w:t>
            </w:r>
          </w:p>
        </w:tc>
        <w:tc>
          <w:tcPr>
            <w:tcW w:w="1080" w:type="dxa"/>
            <w:vAlign w:val="center"/>
          </w:tcPr>
          <w:p>
            <w:pPr>
              <w:spacing w:line="240" w:lineRule="atLeas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838" w:type="dxa"/>
            <w:vAlign w:val="center"/>
          </w:tcPr>
          <w:p>
            <w:pPr>
              <w:spacing w:line="240" w:lineRule="atLeas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1696</w:t>
            </w:r>
          </w:p>
        </w:tc>
      </w:tr>
    </w:tbl>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1.3教师队伍。</w:t>
      </w:r>
      <w:r>
        <w:rPr>
          <w:rFonts w:ascii="宋体" w:hAnsi="宋体" w:eastAsia="宋体" w:cs="宋体"/>
          <w:kern w:val="0"/>
          <w:sz w:val="24"/>
          <w:szCs w:val="24"/>
        </w:rPr>
        <w:br w:type="textWrapping"/>
      </w:r>
      <w:r>
        <w:rPr>
          <w:rFonts w:ascii="宋体" w:hAnsi="宋体" w:eastAsia="宋体" w:cs="宋体"/>
          <w:kern w:val="0"/>
          <w:sz w:val="24"/>
          <w:szCs w:val="24"/>
        </w:rPr>
        <w:t>学校现有教职工</w:t>
      </w: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5</w:t>
      </w:r>
      <w:r>
        <w:rPr>
          <w:rFonts w:ascii="宋体" w:hAnsi="宋体" w:eastAsia="宋体" w:cs="宋体"/>
          <w:kern w:val="0"/>
          <w:sz w:val="24"/>
          <w:szCs w:val="24"/>
        </w:rPr>
        <w:t>人，研究生</w:t>
      </w:r>
      <w:r>
        <w:rPr>
          <w:rFonts w:hint="eastAsia" w:ascii="宋体" w:hAnsi="宋体" w:eastAsia="宋体" w:cs="宋体"/>
          <w:kern w:val="0"/>
          <w:sz w:val="24"/>
          <w:szCs w:val="24"/>
        </w:rPr>
        <w:t>2</w:t>
      </w:r>
      <w:r>
        <w:rPr>
          <w:rFonts w:ascii="宋体" w:hAnsi="宋体" w:eastAsia="宋体" w:cs="宋体"/>
          <w:kern w:val="0"/>
          <w:sz w:val="24"/>
          <w:szCs w:val="24"/>
        </w:rPr>
        <w:t>人，本科学历</w:t>
      </w:r>
      <w:r>
        <w:rPr>
          <w:rFonts w:hint="eastAsia" w:ascii="宋体" w:hAnsi="宋体" w:eastAsia="宋体" w:cs="宋体"/>
          <w:kern w:val="0"/>
          <w:sz w:val="24"/>
          <w:szCs w:val="24"/>
        </w:rPr>
        <w:t>32</w:t>
      </w:r>
      <w:r>
        <w:rPr>
          <w:rFonts w:ascii="宋体" w:hAnsi="宋体" w:eastAsia="宋体" w:cs="宋体"/>
          <w:kern w:val="0"/>
          <w:sz w:val="24"/>
          <w:szCs w:val="24"/>
        </w:rPr>
        <w:t>人。其中，专任教师</w:t>
      </w: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5</w:t>
      </w:r>
      <w:r>
        <w:rPr>
          <w:rFonts w:ascii="宋体" w:hAnsi="宋体" w:eastAsia="宋体" w:cs="宋体"/>
          <w:kern w:val="0"/>
          <w:sz w:val="24"/>
          <w:szCs w:val="24"/>
        </w:rPr>
        <w:t>人，具有高级专业技术职称的</w:t>
      </w:r>
      <w:r>
        <w:rPr>
          <w:rFonts w:hint="eastAsia" w:ascii="宋体" w:hAnsi="宋体" w:eastAsia="宋体" w:cs="宋体"/>
          <w:kern w:val="0"/>
          <w:sz w:val="24"/>
          <w:szCs w:val="24"/>
        </w:rPr>
        <w:t>1</w:t>
      </w:r>
      <w:r>
        <w:rPr>
          <w:rFonts w:ascii="宋体" w:hAnsi="宋体" w:eastAsia="宋体" w:cs="宋体"/>
          <w:kern w:val="0"/>
          <w:sz w:val="24"/>
          <w:szCs w:val="24"/>
        </w:rPr>
        <w:t>人，专业课教师</w:t>
      </w:r>
      <w:r>
        <w:rPr>
          <w:rFonts w:hint="eastAsia" w:ascii="宋体" w:hAnsi="宋体" w:eastAsia="宋体" w:cs="宋体"/>
          <w:kern w:val="0"/>
          <w:sz w:val="24"/>
          <w:szCs w:val="24"/>
        </w:rPr>
        <w:t>30</w:t>
      </w:r>
      <w:r>
        <w:rPr>
          <w:rFonts w:ascii="宋体" w:hAnsi="宋体" w:eastAsia="宋体" w:cs="宋体"/>
          <w:kern w:val="0"/>
          <w:sz w:val="24"/>
          <w:szCs w:val="24"/>
        </w:rPr>
        <w:t>人，生师比为</w:t>
      </w:r>
      <w:r>
        <w:rPr>
          <w:rFonts w:hint="eastAsia" w:ascii="宋体" w:hAnsi="宋体" w:eastAsia="宋体" w:cs="宋体"/>
          <w:kern w:val="0"/>
          <w:sz w:val="24"/>
          <w:szCs w:val="24"/>
        </w:rPr>
        <w:t>20</w:t>
      </w:r>
      <w:r>
        <w:rPr>
          <w:rFonts w:ascii="宋体" w:hAnsi="宋体" w:eastAsia="宋体" w:cs="宋体"/>
          <w:kern w:val="0"/>
          <w:sz w:val="24"/>
          <w:szCs w:val="24"/>
        </w:rPr>
        <w:t>：1。双师型教师</w:t>
      </w:r>
      <w:r>
        <w:rPr>
          <w:rFonts w:hint="eastAsia" w:ascii="宋体" w:hAnsi="宋体" w:eastAsia="宋体" w:cs="宋体"/>
          <w:kern w:val="0"/>
          <w:sz w:val="24"/>
          <w:szCs w:val="24"/>
        </w:rPr>
        <w:t>30</w:t>
      </w:r>
      <w:r>
        <w:rPr>
          <w:rFonts w:ascii="宋体" w:hAnsi="宋体" w:eastAsia="宋体" w:cs="宋体"/>
          <w:kern w:val="0"/>
          <w:sz w:val="24"/>
          <w:szCs w:val="24"/>
        </w:rPr>
        <w:t>人，兼职教师</w:t>
      </w:r>
      <w:r>
        <w:rPr>
          <w:rFonts w:hint="eastAsia" w:ascii="宋体" w:hAnsi="宋体" w:eastAsia="宋体" w:cs="宋体"/>
          <w:kern w:val="0"/>
          <w:sz w:val="24"/>
          <w:szCs w:val="24"/>
          <w:lang w:val="en-US" w:eastAsia="zh-CN"/>
        </w:rPr>
        <w:t>6</w:t>
      </w:r>
      <w:r>
        <w:rPr>
          <w:rFonts w:ascii="宋体" w:hAnsi="宋体" w:eastAsia="宋体" w:cs="宋体"/>
          <w:kern w:val="0"/>
          <w:sz w:val="24"/>
          <w:szCs w:val="24"/>
        </w:rPr>
        <w:t>人。</w:t>
      </w:r>
      <w:r>
        <w:rPr>
          <w:rFonts w:ascii="宋体" w:hAnsi="宋体" w:eastAsia="宋体" w:cs="宋体"/>
          <w:kern w:val="0"/>
          <w:sz w:val="24"/>
          <w:szCs w:val="24"/>
        </w:rPr>
        <w:br w:type="textWrapping"/>
      </w:r>
      <w:r>
        <w:rPr>
          <w:rFonts w:ascii="宋体" w:hAnsi="宋体" w:eastAsia="宋体" w:cs="宋体"/>
          <w:kern w:val="0"/>
          <w:sz w:val="24"/>
          <w:szCs w:val="24"/>
        </w:rPr>
        <w:t>表1-3 近两学年中等职业学校教师总体情况一览表</w:t>
      </w:r>
    </w:p>
    <w:tbl>
      <w:tblPr>
        <w:tblStyle w:val="5"/>
        <w:tblpPr w:leftFromText="180" w:rightFromText="180" w:vertAnchor="text" w:horzAnchor="page" w:tblpXSpec="center" w:tblpY="9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845"/>
        <w:gridCol w:w="828"/>
        <w:gridCol w:w="972"/>
        <w:gridCol w:w="1080"/>
        <w:gridCol w:w="1080"/>
        <w:gridCol w:w="1260"/>
        <w:gridCol w:w="100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13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eastAsia="宋体"/>
                <w:bCs/>
                <w:sz w:val="24"/>
                <w:szCs w:val="24"/>
              </w:rPr>
            </w:pPr>
            <w:r>
              <w:rPr>
                <w:rFonts w:hint="eastAsia" w:ascii="宋体" w:hAnsi="宋体" w:eastAsia="宋体"/>
                <w:bCs/>
                <w:sz w:val="24"/>
                <w:szCs w:val="24"/>
              </w:rPr>
              <w:t>学年度</w:t>
            </w:r>
          </w:p>
        </w:tc>
        <w:tc>
          <w:tcPr>
            <w:tcW w:w="8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eastAsia="宋体"/>
                <w:bCs/>
                <w:sz w:val="24"/>
                <w:szCs w:val="24"/>
              </w:rPr>
            </w:pPr>
            <w:r>
              <w:rPr>
                <w:rFonts w:hint="eastAsia" w:ascii="宋体" w:hAnsi="宋体" w:eastAsia="宋体"/>
                <w:bCs/>
                <w:sz w:val="24"/>
                <w:szCs w:val="24"/>
              </w:rPr>
              <w:t>专任教师（人）</w:t>
            </w:r>
          </w:p>
        </w:tc>
        <w:tc>
          <w:tcPr>
            <w:tcW w:w="8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eastAsia="宋体"/>
                <w:bCs/>
                <w:sz w:val="24"/>
                <w:szCs w:val="24"/>
              </w:rPr>
            </w:pPr>
            <w:r>
              <w:rPr>
                <w:rFonts w:hint="eastAsia" w:ascii="宋体" w:hAnsi="宋体" w:eastAsia="宋体"/>
                <w:bCs/>
                <w:kern w:val="0"/>
                <w:sz w:val="24"/>
                <w:szCs w:val="24"/>
              </w:rPr>
              <w:t>生师比</w:t>
            </w: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eastAsia="宋体"/>
                <w:bCs/>
                <w:sz w:val="24"/>
                <w:szCs w:val="24"/>
              </w:rPr>
            </w:pPr>
            <w:r>
              <w:rPr>
                <w:rFonts w:hint="eastAsia" w:ascii="宋体" w:hAnsi="宋体" w:eastAsia="宋体"/>
                <w:bCs/>
                <w:kern w:val="0"/>
                <w:sz w:val="24"/>
                <w:szCs w:val="24"/>
              </w:rPr>
              <w:t>硕士以上学历（人）</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kern w:val="0"/>
                <w:sz w:val="24"/>
                <w:szCs w:val="24"/>
              </w:rPr>
              <w:t>本科以上学历（人）</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eastAsia="宋体"/>
                <w:bCs/>
                <w:kern w:val="0"/>
                <w:sz w:val="24"/>
                <w:szCs w:val="24"/>
              </w:rPr>
            </w:pPr>
            <w:r>
              <w:rPr>
                <w:rFonts w:hint="eastAsia" w:ascii="宋体" w:hAnsi="宋体" w:eastAsia="宋体"/>
                <w:bCs/>
                <w:kern w:val="0"/>
                <w:sz w:val="24"/>
                <w:szCs w:val="24"/>
              </w:rPr>
              <w:t>高级职称教师（人）</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eastAsia="宋体"/>
                <w:bCs/>
                <w:kern w:val="0"/>
                <w:sz w:val="24"/>
                <w:szCs w:val="24"/>
              </w:rPr>
            </w:pPr>
            <w:r>
              <w:rPr>
                <w:rFonts w:hint="eastAsia" w:ascii="宋体" w:hAnsi="宋体" w:eastAsia="宋体"/>
                <w:bCs/>
                <w:kern w:val="0"/>
                <w:sz w:val="24"/>
                <w:szCs w:val="24"/>
              </w:rPr>
              <w:t>专业课及实习指导教师（人）</w:t>
            </w:r>
          </w:p>
        </w:tc>
        <w:tc>
          <w:tcPr>
            <w:tcW w:w="10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双师型</w:t>
            </w:r>
          </w:p>
          <w:p>
            <w:pPr>
              <w:adjustRightInd w:val="0"/>
              <w:snapToGrid w:val="0"/>
              <w:spacing w:line="240" w:lineRule="exact"/>
              <w:jc w:val="center"/>
              <w:rPr>
                <w:rFonts w:ascii="宋体" w:hAnsi="宋体" w:eastAsia="宋体"/>
                <w:bCs/>
                <w:kern w:val="0"/>
                <w:sz w:val="24"/>
                <w:szCs w:val="24"/>
              </w:rPr>
            </w:pPr>
            <w:r>
              <w:rPr>
                <w:rFonts w:hint="eastAsia" w:ascii="宋体" w:hAnsi="宋体" w:eastAsia="宋体"/>
                <w:bCs/>
                <w:sz w:val="24"/>
                <w:szCs w:val="24"/>
              </w:rPr>
              <w:t>教师（人）</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eastAsia="宋体"/>
                <w:bCs/>
                <w:kern w:val="0"/>
                <w:sz w:val="24"/>
                <w:szCs w:val="24"/>
              </w:rPr>
            </w:pPr>
            <w:r>
              <w:rPr>
                <w:rFonts w:hint="eastAsia" w:ascii="宋体" w:hAnsi="宋体" w:eastAsia="宋体"/>
                <w:bCs/>
                <w:kern w:val="0"/>
                <w:sz w:val="24"/>
                <w:szCs w:val="24"/>
              </w:rPr>
              <w:t>兼职教师（人）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1315" w:type="dxa"/>
            <w:tcBorders>
              <w:top w:val="single" w:color="auto" w:sz="4" w:space="0"/>
              <w:bottom w:val="single" w:color="auto" w:sz="4" w:space="0"/>
            </w:tcBorders>
            <w:vAlign w:val="center"/>
          </w:tcPr>
          <w:p>
            <w:pPr>
              <w:spacing w:line="240" w:lineRule="atLeast"/>
              <w:jc w:val="center"/>
              <w:rPr>
                <w:rFonts w:hint="eastAsia" w:ascii="宋体" w:hAnsi="宋体" w:eastAsia="宋体" w:cs="宋体"/>
                <w:kern w:val="2"/>
                <w:sz w:val="24"/>
                <w:szCs w:val="24"/>
                <w:lang w:val="en-US" w:eastAsia="zh-CN" w:bidi="ar-SA"/>
              </w:rPr>
            </w:pPr>
            <w:r>
              <w:rPr>
                <w:rFonts w:ascii="宋体" w:hAnsi="宋体" w:eastAsia="宋体"/>
                <w:sz w:val="24"/>
                <w:szCs w:val="24"/>
              </w:rPr>
              <w:t>201</w:t>
            </w:r>
            <w:r>
              <w:rPr>
                <w:rFonts w:hint="eastAsia" w:ascii="宋体" w:hAnsi="宋体" w:eastAsia="宋体"/>
                <w:sz w:val="24"/>
                <w:szCs w:val="24"/>
              </w:rPr>
              <w:t>7</w:t>
            </w:r>
            <w:r>
              <w:rPr>
                <w:rFonts w:ascii="宋体" w:hAnsi="宋体" w:eastAsia="宋体"/>
                <w:sz w:val="24"/>
                <w:szCs w:val="24"/>
              </w:rPr>
              <w:t>～201</w:t>
            </w:r>
            <w:r>
              <w:rPr>
                <w:rFonts w:hint="eastAsia" w:ascii="宋体" w:hAnsi="宋体" w:eastAsia="宋体"/>
                <w:sz w:val="24"/>
                <w:szCs w:val="24"/>
              </w:rPr>
              <w:t>8</w:t>
            </w:r>
          </w:p>
        </w:tc>
        <w:tc>
          <w:tcPr>
            <w:tcW w:w="845" w:type="dxa"/>
            <w:tcBorders>
              <w:top w:val="single" w:color="auto" w:sz="4" w:space="0"/>
              <w:bottom w:val="single" w:color="auto" w:sz="4" w:space="0"/>
            </w:tcBorders>
            <w:vAlign w:val="center"/>
          </w:tcPr>
          <w:p>
            <w:pPr>
              <w:adjustRightInd w:val="0"/>
              <w:snapToGrid w:val="0"/>
              <w:spacing w:line="300" w:lineRule="exact"/>
              <w:jc w:val="center"/>
              <w:rPr>
                <w:rFonts w:hint="eastAsia" w:ascii="宋体" w:hAnsi="宋体" w:eastAsia="宋体" w:cstheme="minorBidi"/>
                <w:bCs/>
                <w:kern w:val="2"/>
                <w:sz w:val="24"/>
                <w:szCs w:val="24"/>
                <w:lang w:val="en-US" w:eastAsia="zh-CN" w:bidi="ar-SA"/>
              </w:rPr>
            </w:pPr>
            <w:r>
              <w:rPr>
                <w:rFonts w:hint="eastAsia" w:ascii="宋体" w:hAnsi="宋体" w:eastAsia="宋体"/>
                <w:bCs/>
                <w:sz w:val="24"/>
                <w:szCs w:val="24"/>
              </w:rPr>
              <w:t>34</w:t>
            </w:r>
          </w:p>
        </w:tc>
        <w:tc>
          <w:tcPr>
            <w:tcW w:w="828" w:type="dxa"/>
            <w:tcBorders>
              <w:top w:val="single" w:color="auto" w:sz="4" w:space="0"/>
              <w:bottom w:val="single" w:color="auto" w:sz="4" w:space="0"/>
            </w:tcBorders>
            <w:vAlign w:val="center"/>
          </w:tcPr>
          <w:p>
            <w:pPr>
              <w:adjustRightInd w:val="0"/>
              <w:snapToGrid w:val="0"/>
              <w:spacing w:line="300" w:lineRule="exact"/>
              <w:jc w:val="center"/>
              <w:rPr>
                <w:rFonts w:ascii="宋体" w:hAnsi="宋体" w:eastAsia="宋体" w:cstheme="minorBidi"/>
                <w:bCs/>
                <w:kern w:val="2"/>
                <w:sz w:val="24"/>
                <w:szCs w:val="24"/>
                <w:lang w:val="en-US" w:eastAsia="zh-CN" w:bidi="ar-SA"/>
              </w:rPr>
            </w:pPr>
            <w:r>
              <w:rPr>
                <w:rFonts w:hint="eastAsia" w:ascii="宋体" w:hAnsi="宋体" w:eastAsia="宋体"/>
                <w:bCs/>
                <w:sz w:val="24"/>
                <w:szCs w:val="24"/>
              </w:rPr>
              <w:t>20</w:t>
            </w:r>
          </w:p>
        </w:tc>
        <w:tc>
          <w:tcPr>
            <w:tcW w:w="972" w:type="dxa"/>
            <w:tcBorders>
              <w:top w:val="single" w:color="auto" w:sz="4" w:space="0"/>
              <w:bottom w:val="single" w:color="auto" w:sz="4" w:space="0"/>
            </w:tcBorders>
            <w:vAlign w:val="center"/>
          </w:tcPr>
          <w:p>
            <w:pPr>
              <w:adjustRightInd w:val="0"/>
              <w:snapToGrid w:val="0"/>
              <w:spacing w:line="300" w:lineRule="exact"/>
              <w:jc w:val="center"/>
              <w:rPr>
                <w:rFonts w:ascii="宋体" w:hAnsi="宋体" w:eastAsia="宋体" w:cstheme="minorBidi"/>
                <w:kern w:val="2"/>
                <w:sz w:val="24"/>
                <w:szCs w:val="24"/>
                <w:lang w:val="en-US" w:eastAsia="zh-CN" w:bidi="ar-SA"/>
              </w:rPr>
            </w:pPr>
            <w:r>
              <w:rPr>
                <w:rFonts w:hint="eastAsia" w:ascii="宋体" w:hAnsi="宋体" w:eastAsia="宋体"/>
                <w:sz w:val="24"/>
                <w:szCs w:val="24"/>
              </w:rPr>
              <w:t>2</w:t>
            </w:r>
          </w:p>
        </w:tc>
        <w:tc>
          <w:tcPr>
            <w:tcW w:w="1080" w:type="dxa"/>
            <w:tcBorders>
              <w:top w:val="single" w:color="auto" w:sz="4" w:space="0"/>
              <w:bottom w:val="single" w:color="auto" w:sz="4" w:space="0"/>
            </w:tcBorders>
            <w:vAlign w:val="center"/>
          </w:tcPr>
          <w:p>
            <w:pPr>
              <w:adjustRightInd w:val="0"/>
              <w:snapToGrid w:val="0"/>
              <w:spacing w:line="300" w:lineRule="exac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32</w:t>
            </w:r>
          </w:p>
        </w:tc>
        <w:tc>
          <w:tcPr>
            <w:tcW w:w="1080" w:type="dxa"/>
            <w:tcBorders>
              <w:top w:val="single" w:color="auto" w:sz="4" w:space="0"/>
              <w:bottom w:val="single" w:color="auto" w:sz="4" w:space="0"/>
            </w:tcBorders>
            <w:vAlign w:val="center"/>
          </w:tcPr>
          <w:p>
            <w:pPr>
              <w:adjustRightInd w:val="0"/>
              <w:snapToGrid w:val="0"/>
              <w:spacing w:line="300" w:lineRule="exact"/>
              <w:jc w:val="center"/>
              <w:rPr>
                <w:rFonts w:ascii="宋体" w:hAnsi="宋体" w:eastAsia="宋体" w:cstheme="minorBidi"/>
                <w:kern w:val="2"/>
                <w:sz w:val="24"/>
                <w:szCs w:val="24"/>
                <w:lang w:val="en-US" w:eastAsia="zh-CN" w:bidi="ar-SA"/>
              </w:rPr>
            </w:pPr>
            <w:r>
              <w:rPr>
                <w:rFonts w:hint="eastAsia" w:ascii="宋体" w:hAnsi="宋体" w:eastAsia="宋体"/>
                <w:sz w:val="24"/>
                <w:szCs w:val="24"/>
              </w:rPr>
              <w:t>1</w:t>
            </w:r>
          </w:p>
        </w:tc>
        <w:tc>
          <w:tcPr>
            <w:tcW w:w="1260" w:type="dxa"/>
            <w:tcBorders>
              <w:top w:val="single" w:color="auto" w:sz="4" w:space="0"/>
              <w:bottom w:val="single" w:color="auto" w:sz="4" w:space="0"/>
            </w:tcBorders>
            <w:vAlign w:val="center"/>
          </w:tcPr>
          <w:p>
            <w:pPr>
              <w:spacing w:line="24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30</w:t>
            </w:r>
          </w:p>
        </w:tc>
        <w:tc>
          <w:tcPr>
            <w:tcW w:w="1008" w:type="dxa"/>
            <w:tcBorders>
              <w:top w:val="single" w:color="auto" w:sz="4" w:space="0"/>
              <w:bottom w:val="single" w:color="auto" w:sz="4" w:space="0"/>
            </w:tcBorders>
            <w:vAlign w:val="center"/>
          </w:tcPr>
          <w:p>
            <w:pPr>
              <w:spacing w:line="24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30</w:t>
            </w:r>
          </w:p>
        </w:tc>
        <w:tc>
          <w:tcPr>
            <w:tcW w:w="900" w:type="dxa"/>
            <w:tcBorders>
              <w:top w:val="single" w:color="auto" w:sz="4" w:space="0"/>
              <w:bottom w:val="single" w:color="auto" w:sz="4" w:space="0"/>
            </w:tcBorders>
            <w:vAlign w:val="center"/>
          </w:tcPr>
          <w:p>
            <w:pPr>
              <w:spacing w:line="240" w:lineRule="atLeast"/>
              <w:jc w:val="center"/>
              <w:rPr>
                <w:rFonts w:ascii="宋体" w:hAnsi="宋体" w:eastAsia="宋体" w:cstheme="minorBidi"/>
                <w:kern w:val="2"/>
                <w:sz w:val="24"/>
                <w:szCs w:val="24"/>
                <w:lang w:val="en-US" w:eastAsia="zh-CN" w:bidi="ar-SA"/>
              </w:rPr>
            </w:pPr>
            <w:r>
              <w:rPr>
                <w:rFonts w:hint="eastAsia" w:ascii="宋体" w:hAnsi="宋体" w:eastAsia="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315" w:type="dxa"/>
            <w:vAlign w:val="center"/>
          </w:tcPr>
          <w:p>
            <w:pPr>
              <w:spacing w:line="240" w:lineRule="atLeast"/>
              <w:jc w:val="center"/>
              <w:rPr>
                <w:rFonts w:hint="eastAsia" w:ascii="宋体" w:hAnsi="宋体" w:eastAsia="宋体" w:cs="宋体"/>
                <w:sz w:val="24"/>
                <w:szCs w:val="24"/>
                <w:lang w:eastAsia="zh-CN"/>
              </w:rPr>
            </w:pPr>
            <w:r>
              <w:rPr>
                <w:rFonts w:ascii="宋体" w:hAnsi="宋体" w:eastAsia="宋体"/>
                <w:sz w:val="24"/>
                <w:szCs w:val="24"/>
              </w:rPr>
              <w:t>201</w:t>
            </w:r>
            <w:r>
              <w:rPr>
                <w:rFonts w:hint="eastAsia" w:ascii="宋体" w:hAnsi="宋体" w:eastAsia="宋体"/>
                <w:sz w:val="24"/>
                <w:szCs w:val="24"/>
                <w:lang w:val="en-US" w:eastAsia="zh-CN"/>
              </w:rPr>
              <w:t>8</w:t>
            </w:r>
            <w:r>
              <w:rPr>
                <w:rFonts w:ascii="宋体" w:hAnsi="宋体" w:eastAsia="宋体"/>
                <w:sz w:val="24"/>
                <w:szCs w:val="24"/>
              </w:rPr>
              <w:t>～201</w:t>
            </w:r>
            <w:r>
              <w:rPr>
                <w:rFonts w:hint="eastAsia" w:ascii="宋体" w:hAnsi="宋体" w:eastAsia="宋体"/>
                <w:sz w:val="24"/>
                <w:szCs w:val="24"/>
                <w:lang w:val="en-US" w:eastAsia="zh-CN"/>
              </w:rPr>
              <w:t>9</w:t>
            </w:r>
          </w:p>
        </w:tc>
        <w:tc>
          <w:tcPr>
            <w:tcW w:w="845" w:type="dxa"/>
            <w:vAlign w:val="center"/>
          </w:tcPr>
          <w:p>
            <w:pPr>
              <w:adjustRightInd w:val="0"/>
              <w:snapToGrid w:val="0"/>
              <w:spacing w:line="300" w:lineRule="exact"/>
              <w:jc w:val="center"/>
              <w:rPr>
                <w:rFonts w:hint="eastAsia" w:ascii="宋体" w:hAnsi="宋体" w:eastAsia="宋体" w:cstheme="minorBidi"/>
                <w:bCs/>
                <w:kern w:val="2"/>
                <w:sz w:val="24"/>
                <w:szCs w:val="24"/>
                <w:lang w:val="en-US" w:eastAsia="zh-CN" w:bidi="ar-SA"/>
              </w:rPr>
            </w:pPr>
            <w:r>
              <w:rPr>
                <w:rFonts w:hint="eastAsia" w:ascii="宋体" w:hAnsi="宋体" w:eastAsia="宋体"/>
                <w:bCs/>
                <w:sz w:val="24"/>
                <w:szCs w:val="24"/>
              </w:rPr>
              <w:t>3</w:t>
            </w:r>
            <w:r>
              <w:rPr>
                <w:rFonts w:hint="eastAsia" w:ascii="宋体" w:hAnsi="宋体" w:eastAsia="宋体"/>
                <w:bCs/>
                <w:sz w:val="24"/>
                <w:szCs w:val="24"/>
                <w:lang w:val="en-US" w:eastAsia="zh-CN"/>
              </w:rPr>
              <w:t>5</w:t>
            </w:r>
          </w:p>
        </w:tc>
        <w:tc>
          <w:tcPr>
            <w:tcW w:w="828" w:type="dxa"/>
            <w:vAlign w:val="center"/>
          </w:tcPr>
          <w:p>
            <w:pPr>
              <w:adjustRightInd w:val="0"/>
              <w:snapToGrid w:val="0"/>
              <w:spacing w:line="300" w:lineRule="exact"/>
              <w:jc w:val="center"/>
              <w:rPr>
                <w:rFonts w:ascii="宋体" w:hAnsi="宋体" w:eastAsia="宋体" w:cstheme="minorBidi"/>
                <w:bCs/>
                <w:kern w:val="2"/>
                <w:sz w:val="24"/>
                <w:szCs w:val="24"/>
                <w:lang w:val="en-US" w:eastAsia="zh-CN" w:bidi="ar-SA"/>
              </w:rPr>
            </w:pPr>
            <w:r>
              <w:rPr>
                <w:rFonts w:hint="eastAsia" w:ascii="宋体" w:hAnsi="宋体" w:eastAsia="宋体"/>
                <w:bCs/>
                <w:sz w:val="24"/>
                <w:szCs w:val="24"/>
              </w:rPr>
              <w:t>20</w:t>
            </w:r>
          </w:p>
        </w:tc>
        <w:tc>
          <w:tcPr>
            <w:tcW w:w="972" w:type="dxa"/>
            <w:vAlign w:val="center"/>
          </w:tcPr>
          <w:p>
            <w:pPr>
              <w:adjustRightInd w:val="0"/>
              <w:snapToGrid w:val="0"/>
              <w:spacing w:line="300" w:lineRule="exact"/>
              <w:jc w:val="center"/>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3</w:t>
            </w:r>
          </w:p>
        </w:tc>
        <w:tc>
          <w:tcPr>
            <w:tcW w:w="1080" w:type="dxa"/>
            <w:vAlign w:val="center"/>
          </w:tcPr>
          <w:p>
            <w:pPr>
              <w:adjustRightInd w:val="0"/>
              <w:snapToGrid w:val="0"/>
              <w:spacing w:line="300" w:lineRule="exac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32</w:t>
            </w:r>
          </w:p>
        </w:tc>
        <w:tc>
          <w:tcPr>
            <w:tcW w:w="1080" w:type="dxa"/>
            <w:vAlign w:val="center"/>
          </w:tcPr>
          <w:p>
            <w:pPr>
              <w:adjustRightInd w:val="0"/>
              <w:snapToGrid w:val="0"/>
              <w:spacing w:line="300" w:lineRule="exact"/>
              <w:jc w:val="center"/>
              <w:rPr>
                <w:rFonts w:ascii="宋体" w:hAnsi="宋体" w:eastAsia="宋体" w:cstheme="minorBidi"/>
                <w:kern w:val="2"/>
                <w:sz w:val="24"/>
                <w:szCs w:val="24"/>
                <w:lang w:val="en-US" w:eastAsia="zh-CN" w:bidi="ar-SA"/>
              </w:rPr>
            </w:pPr>
            <w:r>
              <w:rPr>
                <w:rFonts w:hint="eastAsia" w:ascii="宋体" w:hAnsi="宋体" w:eastAsia="宋体"/>
                <w:sz w:val="24"/>
                <w:szCs w:val="24"/>
              </w:rPr>
              <w:t>1</w:t>
            </w:r>
          </w:p>
        </w:tc>
        <w:tc>
          <w:tcPr>
            <w:tcW w:w="1260" w:type="dxa"/>
            <w:vAlign w:val="center"/>
          </w:tcPr>
          <w:p>
            <w:pPr>
              <w:spacing w:line="24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30</w:t>
            </w:r>
          </w:p>
        </w:tc>
        <w:tc>
          <w:tcPr>
            <w:tcW w:w="1008" w:type="dxa"/>
            <w:vAlign w:val="center"/>
          </w:tcPr>
          <w:p>
            <w:pPr>
              <w:spacing w:line="24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30</w:t>
            </w:r>
          </w:p>
        </w:tc>
        <w:tc>
          <w:tcPr>
            <w:tcW w:w="900" w:type="dxa"/>
            <w:vAlign w:val="center"/>
          </w:tcPr>
          <w:p>
            <w:pPr>
              <w:spacing w:line="240" w:lineRule="atLeast"/>
              <w:jc w:val="center"/>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6</w:t>
            </w:r>
          </w:p>
        </w:tc>
      </w:tr>
    </w:tbl>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r>
        <w:rPr>
          <w:rFonts w:ascii="宋体" w:hAnsi="宋体" w:eastAsia="宋体" w:cs="宋体"/>
          <w:kern w:val="0"/>
          <w:sz w:val="24"/>
          <w:szCs w:val="24"/>
        </w:rPr>
        <w:t>备注：本科、硕士、高级职称、专业课及实心指导教师人数为专任教师中的人数；双师型教师人数为专业课及实习指导教师中的人数。</w:t>
      </w:r>
      <w:r>
        <w:rPr>
          <w:rFonts w:ascii="宋体" w:hAnsi="宋体" w:eastAsia="宋体" w:cs="宋体"/>
          <w:kern w:val="0"/>
          <w:sz w:val="24"/>
          <w:szCs w:val="24"/>
        </w:rPr>
        <w:br w:type="textWrapping"/>
      </w:r>
      <w:r>
        <w:rPr>
          <w:rFonts w:ascii="宋体" w:hAnsi="宋体" w:eastAsia="宋体" w:cs="宋体"/>
          <w:kern w:val="0"/>
          <w:sz w:val="24"/>
          <w:szCs w:val="24"/>
        </w:rPr>
        <w:t>1.4设施设备。</w:t>
      </w:r>
      <w:r>
        <w:rPr>
          <w:rFonts w:ascii="宋体" w:hAnsi="宋体" w:eastAsia="宋体" w:cs="宋体"/>
          <w:kern w:val="0"/>
          <w:sz w:val="24"/>
          <w:szCs w:val="24"/>
        </w:rPr>
        <w:br w:type="textWrapping"/>
      </w:r>
      <w:r>
        <w:rPr>
          <w:rFonts w:ascii="宋体" w:hAnsi="宋体" w:eastAsia="宋体" w:cs="宋体"/>
          <w:kern w:val="0"/>
          <w:sz w:val="24"/>
          <w:szCs w:val="24"/>
        </w:rPr>
        <w:t>1.4.1仪器设备。</w:t>
      </w:r>
      <w:r>
        <w:rPr>
          <w:rFonts w:ascii="宋体" w:hAnsi="宋体" w:eastAsia="宋体" w:cs="宋体"/>
          <w:kern w:val="0"/>
          <w:sz w:val="24"/>
          <w:szCs w:val="24"/>
        </w:rPr>
        <w:br w:type="textWrapping"/>
      </w:r>
      <w:r>
        <w:rPr>
          <w:rFonts w:ascii="宋体" w:hAnsi="宋体" w:eastAsia="宋体" w:cs="宋体"/>
          <w:kern w:val="0"/>
          <w:sz w:val="24"/>
          <w:szCs w:val="24"/>
        </w:rPr>
        <w:t>学校仪器设备资产总值</w:t>
      </w:r>
      <w:r>
        <w:rPr>
          <w:rFonts w:hint="eastAsia" w:ascii="宋体" w:hAnsi="宋体" w:eastAsia="宋体"/>
          <w:bCs/>
          <w:sz w:val="24"/>
          <w:szCs w:val="24"/>
          <w:u w:val="single"/>
        </w:rPr>
        <w:t>1</w:t>
      </w:r>
      <w:r>
        <w:rPr>
          <w:rFonts w:hint="eastAsia" w:ascii="宋体" w:hAnsi="宋体" w:eastAsia="宋体"/>
          <w:bCs/>
          <w:sz w:val="24"/>
          <w:szCs w:val="24"/>
          <w:u w:val="single"/>
          <w:lang w:val="en-US" w:eastAsia="zh-CN"/>
        </w:rPr>
        <w:t>9</w:t>
      </w:r>
      <w:r>
        <w:rPr>
          <w:rFonts w:hint="eastAsia" w:ascii="宋体" w:hAnsi="宋体" w:eastAsia="宋体"/>
          <w:bCs/>
          <w:sz w:val="24"/>
          <w:szCs w:val="24"/>
          <w:u w:val="single"/>
        </w:rPr>
        <w:t>00000</w:t>
      </w:r>
      <w:r>
        <w:rPr>
          <w:rFonts w:ascii="宋体" w:hAnsi="宋体" w:eastAsia="宋体" w:cs="宋体"/>
          <w:kern w:val="0"/>
          <w:sz w:val="24"/>
          <w:szCs w:val="24"/>
        </w:rPr>
        <w:t>元，生均教学仪器设备值</w:t>
      </w:r>
      <w:r>
        <w:rPr>
          <w:rFonts w:hint="eastAsia" w:ascii="宋体" w:hAnsi="宋体" w:eastAsia="宋体"/>
          <w:bCs/>
          <w:color w:val="auto"/>
          <w:sz w:val="24"/>
          <w:szCs w:val="24"/>
          <w:u w:val="single"/>
          <w:lang w:val="en-US" w:eastAsia="zh-CN"/>
        </w:rPr>
        <w:t>1565</w:t>
      </w:r>
      <w:r>
        <w:rPr>
          <w:rFonts w:ascii="宋体" w:hAnsi="宋体" w:eastAsia="宋体" w:cs="宋体"/>
          <w:kern w:val="0"/>
          <w:sz w:val="24"/>
          <w:szCs w:val="24"/>
        </w:rPr>
        <w:t>元，实训工位总数</w:t>
      </w:r>
      <w:r>
        <w:rPr>
          <w:rFonts w:hint="eastAsia" w:ascii="宋体" w:hAnsi="宋体" w:eastAsia="宋体"/>
          <w:bCs/>
          <w:sz w:val="24"/>
          <w:szCs w:val="24"/>
          <w:u w:val="single"/>
          <w:lang w:val="en-US" w:eastAsia="zh-CN"/>
        </w:rPr>
        <w:t>21</w:t>
      </w:r>
      <w:r>
        <w:rPr>
          <w:rFonts w:hint="eastAsia" w:ascii="宋体" w:hAnsi="宋体" w:eastAsia="宋体"/>
          <w:bCs/>
          <w:sz w:val="24"/>
          <w:szCs w:val="24"/>
          <w:u w:val="single"/>
        </w:rPr>
        <w:t>0</w:t>
      </w:r>
      <w:r>
        <w:rPr>
          <w:rFonts w:ascii="宋体" w:hAnsi="宋体" w:eastAsia="宋体" w:cs="宋体"/>
          <w:kern w:val="0"/>
          <w:sz w:val="24"/>
          <w:szCs w:val="24"/>
        </w:rPr>
        <w:t>个，生均实训实习工位数</w:t>
      </w:r>
      <w:r>
        <w:rPr>
          <w:rFonts w:hint="eastAsia" w:ascii="宋体" w:hAnsi="宋体" w:eastAsia="宋体"/>
          <w:bCs/>
          <w:sz w:val="24"/>
          <w:szCs w:val="24"/>
          <w:u w:val="single"/>
        </w:rPr>
        <w:t>0.1</w:t>
      </w:r>
      <w:r>
        <w:rPr>
          <w:rFonts w:hint="eastAsia" w:ascii="宋体" w:hAnsi="宋体" w:eastAsia="宋体"/>
          <w:bCs/>
          <w:sz w:val="24"/>
          <w:szCs w:val="24"/>
          <w:u w:val="single"/>
          <w:lang w:val="en-US" w:eastAsia="zh-CN"/>
        </w:rPr>
        <w:t>7</w:t>
      </w:r>
      <w:r>
        <w:rPr>
          <w:rFonts w:ascii="宋体" w:hAnsi="宋体" w:eastAsia="宋体" w:cs="宋体"/>
          <w:kern w:val="0"/>
          <w:sz w:val="24"/>
          <w:szCs w:val="24"/>
        </w:rPr>
        <w:t>个。</w:t>
      </w:r>
      <w:r>
        <w:rPr>
          <w:rFonts w:ascii="宋体" w:hAnsi="宋体" w:eastAsia="宋体" w:cs="宋体"/>
          <w:kern w:val="0"/>
          <w:sz w:val="24"/>
          <w:szCs w:val="24"/>
        </w:rPr>
        <w:br w:type="textWrapping"/>
      </w:r>
      <w:r>
        <w:rPr>
          <w:rFonts w:ascii="宋体" w:hAnsi="宋体" w:eastAsia="宋体" w:cs="宋体"/>
          <w:kern w:val="0"/>
          <w:sz w:val="24"/>
          <w:szCs w:val="24"/>
        </w:rPr>
        <w:t>1.4.2图书资料。</w:t>
      </w:r>
      <w:r>
        <w:rPr>
          <w:rFonts w:ascii="宋体" w:hAnsi="宋体" w:eastAsia="宋体" w:cs="宋体"/>
          <w:kern w:val="0"/>
          <w:sz w:val="24"/>
          <w:szCs w:val="24"/>
        </w:rPr>
        <w:br w:type="textWrapping"/>
      </w:r>
      <w:r>
        <w:rPr>
          <w:rFonts w:ascii="宋体" w:hAnsi="宋体" w:eastAsia="宋体" w:cs="宋体"/>
          <w:kern w:val="0"/>
          <w:sz w:val="24"/>
          <w:szCs w:val="24"/>
        </w:rPr>
        <w:t>学校有满足学生阅览的图书室，纸质图书</w:t>
      </w:r>
      <w:r>
        <w:rPr>
          <w:rFonts w:hint="eastAsia" w:ascii="宋体" w:hAnsi="宋体" w:eastAsia="宋体"/>
          <w:bCs/>
          <w:sz w:val="24"/>
          <w:szCs w:val="24"/>
          <w:u w:val="single"/>
        </w:rPr>
        <w:t>2</w:t>
      </w:r>
      <w:r>
        <w:rPr>
          <w:rFonts w:hint="eastAsia" w:ascii="宋体" w:hAnsi="宋体" w:eastAsia="宋体"/>
          <w:bCs/>
          <w:sz w:val="24"/>
          <w:szCs w:val="24"/>
          <w:u w:val="single"/>
          <w:lang w:val="en-US" w:eastAsia="zh-CN"/>
        </w:rPr>
        <w:t>7</w:t>
      </w:r>
      <w:r>
        <w:rPr>
          <w:rFonts w:hint="eastAsia" w:ascii="宋体" w:hAnsi="宋体" w:eastAsia="宋体"/>
          <w:bCs/>
          <w:sz w:val="24"/>
          <w:szCs w:val="24"/>
          <w:u w:val="single"/>
        </w:rPr>
        <w:t>000</w:t>
      </w:r>
      <w:r>
        <w:rPr>
          <w:rFonts w:ascii="宋体" w:hAnsi="宋体" w:eastAsia="宋体" w:cs="宋体"/>
          <w:kern w:val="0"/>
          <w:sz w:val="24"/>
          <w:szCs w:val="24"/>
        </w:rPr>
        <w:t>册，生均纸质图书</w:t>
      </w:r>
      <w:r>
        <w:rPr>
          <w:rFonts w:hint="eastAsia" w:ascii="宋体" w:hAnsi="宋体" w:eastAsia="宋体" w:cs="宋体"/>
          <w:kern w:val="0"/>
          <w:sz w:val="24"/>
          <w:szCs w:val="24"/>
          <w:lang w:val="en-US" w:eastAsia="zh-CN"/>
        </w:rPr>
        <w:t>22</w:t>
      </w:r>
      <w:r>
        <w:rPr>
          <w:rFonts w:ascii="宋体" w:hAnsi="宋体" w:eastAsia="宋体" w:cs="宋体"/>
          <w:kern w:val="0"/>
          <w:sz w:val="24"/>
          <w:szCs w:val="24"/>
        </w:rPr>
        <w:t>本，比上一年生均图书</w:t>
      </w:r>
      <w:r>
        <w:rPr>
          <w:rFonts w:hint="eastAsia" w:ascii="宋体" w:hAnsi="宋体" w:eastAsia="宋体" w:cs="宋体"/>
          <w:kern w:val="0"/>
          <w:sz w:val="24"/>
          <w:szCs w:val="24"/>
        </w:rPr>
        <w:t>增加3</w:t>
      </w:r>
      <w:r>
        <w:rPr>
          <w:rFonts w:ascii="宋体" w:hAnsi="宋体" w:eastAsia="宋体" w:cs="宋体"/>
          <w:kern w:val="0"/>
          <w:sz w:val="24"/>
          <w:szCs w:val="24"/>
        </w:rPr>
        <w:t>本。专业期刊</w:t>
      </w: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20</w:t>
      </w:r>
      <w:r>
        <w:rPr>
          <w:rFonts w:ascii="宋体" w:hAnsi="宋体" w:eastAsia="宋体" w:cs="宋体"/>
          <w:kern w:val="0"/>
          <w:sz w:val="24"/>
          <w:szCs w:val="24"/>
        </w:rPr>
        <w:t>种，能满足师生日常阅读需要。</w:t>
      </w:r>
      <w:r>
        <w:rPr>
          <w:rFonts w:ascii="宋体" w:hAnsi="宋体" w:eastAsia="宋体" w:cs="宋体"/>
          <w:kern w:val="0"/>
          <w:sz w:val="24"/>
          <w:szCs w:val="24"/>
        </w:rPr>
        <w:br w:type="textWrapping"/>
      </w:r>
      <w:r>
        <w:rPr>
          <w:rFonts w:ascii="宋体" w:hAnsi="宋体" w:eastAsia="宋体" w:cs="宋体"/>
          <w:kern w:val="0"/>
          <w:sz w:val="24"/>
          <w:szCs w:val="24"/>
        </w:rPr>
        <w:t>表1-4 近两学年中等职业学校生均设备设施情况一览表</w:t>
      </w:r>
    </w:p>
    <w:tbl>
      <w:tblPr>
        <w:tblStyle w:val="5"/>
        <w:tblpPr w:leftFromText="180" w:rightFromText="180" w:vertAnchor="text" w:horzAnchor="margin" w:tblpXSpec="center" w:tblpY="173"/>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080"/>
        <w:gridCol w:w="1110"/>
        <w:gridCol w:w="1158"/>
        <w:gridCol w:w="1080"/>
        <w:gridCol w:w="981"/>
        <w:gridCol w:w="861"/>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40" w:type="dxa"/>
            <w:vMerge w:val="restart"/>
            <w:vAlign w:val="center"/>
          </w:tcPr>
          <w:p>
            <w:pPr>
              <w:adjustRightInd w:val="0"/>
              <w:snapToGrid w:val="0"/>
              <w:spacing w:line="0" w:lineRule="atLeast"/>
              <w:jc w:val="center"/>
              <w:rPr>
                <w:rFonts w:ascii="宋体" w:hAnsi="宋体" w:eastAsia="宋体"/>
                <w:bCs/>
                <w:sz w:val="24"/>
                <w:szCs w:val="24"/>
              </w:rPr>
            </w:pPr>
            <w:r>
              <w:rPr>
                <w:rFonts w:hint="eastAsia" w:ascii="宋体" w:hAnsi="宋体" w:eastAsia="宋体"/>
                <w:bCs/>
                <w:sz w:val="24"/>
                <w:szCs w:val="24"/>
              </w:rPr>
              <w:t>学年度</w:t>
            </w:r>
          </w:p>
        </w:tc>
        <w:tc>
          <w:tcPr>
            <w:tcW w:w="2190" w:type="dxa"/>
            <w:gridSpan w:val="2"/>
            <w:vAlign w:val="center"/>
          </w:tcPr>
          <w:p>
            <w:pPr>
              <w:adjustRightInd w:val="0"/>
              <w:snapToGrid w:val="0"/>
              <w:spacing w:line="0" w:lineRule="atLeast"/>
              <w:jc w:val="center"/>
              <w:rPr>
                <w:rFonts w:ascii="宋体" w:hAnsi="宋体" w:eastAsia="宋体"/>
                <w:bCs/>
                <w:sz w:val="24"/>
                <w:szCs w:val="24"/>
              </w:rPr>
            </w:pPr>
            <w:r>
              <w:rPr>
                <w:rFonts w:hint="eastAsia" w:ascii="宋体" w:hAnsi="宋体" w:eastAsia="宋体"/>
                <w:bCs/>
                <w:sz w:val="24"/>
                <w:szCs w:val="24"/>
              </w:rPr>
              <w:t>教学仪器设备值</w:t>
            </w:r>
            <w:r>
              <w:rPr>
                <w:rFonts w:ascii="宋体" w:hAnsi="宋体" w:eastAsia="宋体"/>
                <w:bCs/>
                <w:sz w:val="24"/>
                <w:szCs w:val="24"/>
              </w:rPr>
              <w:t xml:space="preserve"> </w:t>
            </w:r>
            <w:r>
              <w:rPr>
                <w:rFonts w:hint="eastAsia" w:ascii="宋体" w:hAnsi="宋体" w:eastAsia="宋体"/>
                <w:bCs/>
                <w:sz w:val="24"/>
                <w:szCs w:val="24"/>
              </w:rPr>
              <w:t>（元）</w:t>
            </w:r>
          </w:p>
        </w:tc>
        <w:tc>
          <w:tcPr>
            <w:tcW w:w="2238" w:type="dxa"/>
            <w:gridSpan w:val="2"/>
            <w:vAlign w:val="center"/>
          </w:tcPr>
          <w:p>
            <w:pPr>
              <w:adjustRightInd w:val="0"/>
              <w:snapToGrid w:val="0"/>
              <w:spacing w:line="0" w:lineRule="atLeast"/>
              <w:jc w:val="center"/>
              <w:rPr>
                <w:rFonts w:ascii="宋体" w:hAnsi="宋体" w:eastAsia="宋体"/>
                <w:bCs/>
                <w:sz w:val="24"/>
                <w:szCs w:val="24"/>
              </w:rPr>
            </w:pPr>
            <w:r>
              <w:rPr>
                <w:rFonts w:hint="eastAsia" w:ascii="宋体" w:hAnsi="宋体" w:eastAsia="宋体"/>
                <w:bCs/>
                <w:sz w:val="24"/>
                <w:szCs w:val="24"/>
              </w:rPr>
              <w:t>实训实习工位数（个）</w:t>
            </w:r>
          </w:p>
        </w:tc>
        <w:tc>
          <w:tcPr>
            <w:tcW w:w="1842" w:type="dxa"/>
            <w:gridSpan w:val="2"/>
            <w:vAlign w:val="center"/>
          </w:tcPr>
          <w:p>
            <w:pPr>
              <w:adjustRightInd w:val="0"/>
              <w:snapToGrid w:val="0"/>
              <w:spacing w:line="0" w:lineRule="atLeast"/>
              <w:jc w:val="center"/>
              <w:rPr>
                <w:rFonts w:ascii="宋体" w:hAnsi="宋体" w:eastAsia="宋体"/>
                <w:bCs/>
                <w:sz w:val="24"/>
                <w:szCs w:val="24"/>
              </w:rPr>
            </w:pPr>
            <w:r>
              <w:rPr>
                <w:rFonts w:hint="eastAsia" w:ascii="宋体" w:hAnsi="宋体" w:eastAsia="宋体"/>
                <w:bCs/>
                <w:sz w:val="24"/>
                <w:szCs w:val="24"/>
              </w:rPr>
              <w:t>纸质图书数（册）</w:t>
            </w:r>
          </w:p>
        </w:tc>
        <w:tc>
          <w:tcPr>
            <w:tcW w:w="858" w:type="dxa"/>
            <w:vMerge w:val="restart"/>
            <w:vAlign w:val="center"/>
          </w:tcPr>
          <w:p>
            <w:pPr>
              <w:adjustRightInd w:val="0"/>
              <w:snapToGrid w:val="0"/>
              <w:spacing w:line="0" w:lineRule="atLeast"/>
              <w:jc w:val="center"/>
              <w:rPr>
                <w:rFonts w:ascii="宋体" w:hAnsi="宋体" w:eastAsia="宋体"/>
                <w:bCs/>
                <w:sz w:val="24"/>
                <w:szCs w:val="24"/>
              </w:rPr>
            </w:pPr>
            <w:r>
              <w:rPr>
                <w:rFonts w:ascii="宋体" w:hAnsi="宋体" w:eastAsia="宋体"/>
                <w:bCs/>
                <w:sz w:val="24"/>
                <w:szCs w:val="24"/>
              </w:rPr>
              <w:t>专业期刊（种）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vMerge w:val="continue"/>
            <w:vAlign w:val="center"/>
          </w:tcPr>
          <w:p>
            <w:pPr>
              <w:adjustRightInd w:val="0"/>
              <w:snapToGrid w:val="0"/>
              <w:spacing w:line="0" w:lineRule="atLeast"/>
              <w:jc w:val="center"/>
              <w:rPr>
                <w:rFonts w:hint="eastAsia" w:ascii="宋体" w:hAnsi="宋体" w:eastAsia="宋体"/>
                <w:bCs/>
                <w:sz w:val="24"/>
                <w:szCs w:val="24"/>
              </w:rPr>
            </w:pPr>
          </w:p>
        </w:tc>
        <w:tc>
          <w:tcPr>
            <w:tcW w:w="1080" w:type="dxa"/>
            <w:vAlign w:val="center"/>
          </w:tcPr>
          <w:p>
            <w:pPr>
              <w:adjustRightInd w:val="0"/>
              <w:snapToGrid w:val="0"/>
              <w:spacing w:line="0" w:lineRule="atLeast"/>
              <w:jc w:val="center"/>
              <w:rPr>
                <w:rFonts w:hint="eastAsia" w:ascii="宋体" w:hAnsi="宋体" w:eastAsia="宋体"/>
                <w:bCs/>
                <w:sz w:val="24"/>
                <w:szCs w:val="24"/>
              </w:rPr>
            </w:pPr>
            <w:r>
              <w:rPr>
                <w:rFonts w:hint="eastAsia" w:ascii="宋体" w:hAnsi="宋体" w:eastAsia="宋体"/>
                <w:bCs/>
                <w:sz w:val="24"/>
                <w:szCs w:val="24"/>
              </w:rPr>
              <w:t>总数</w:t>
            </w:r>
          </w:p>
        </w:tc>
        <w:tc>
          <w:tcPr>
            <w:tcW w:w="1110" w:type="dxa"/>
            <w:vAlign w:val="center"/>
          </w:tcPr>
          <w:p>
            <w:pPr>
              <w:adjustRightInd w:val="0"/>
              <w:snapToGrid w:val="0"/>
              <w:spacing w:line="0" w:lineRule="atLeast"/>
              <w:jc w:val="center"/>
              <w:rPr>
                <w:rFonts w:ascii="宋体" w:hAnsi="宋体" w:eastAsia="宋体"/>
                <w:bCs/>
                <w:sz w:val="24"/>
                <w:szCs w:val="24"/>
              </w:rPr>
            </w:pPr>
            <w:r>
              <w:rPr>
                <w:rFonts w:hint="eastAsia" w:ascii="宋体" w:hAnsi="宋体" w:eastAsia="宋体"/>
                <w:bCs/>
                <w:sz w:val="24"/>
                <w:szCs w:val="24"/>
              </w:rPr>
              <w:t>生均</w:t>
            </w:r>
          </w:p>
        </w:tc>
        <w:tc>
          <w:tcPr>
            <w:tcW w:w="1158" w:type="dxa"/>
            <w:vAlign w:val="center"/>
          </w:tcPr>
          <w:p>
            <w:pPr>
              <w:adjustRightInd w:val="0"/>
              <w:snapToGrid w:val="0"/>
              <w:spacing w:line="0" w:lineRule="atLeast"/>
              <w:jc w:val="center"/>
              <w:rPr>
                <w:rFonts w:hint="eastAsia" w:ascii="宋体" w:hAnsi="宋体" w:eastAsia="宋体"/>
                <w:bCs/>
                <w:sz w:val="24"/>
                <w:szCs w:val="24"/>
              </w:rPr>
            </w:pPr>
            <w:r>
              <w:rPr>
                <w:rFonts w:hint="eastAsia" w:ascii="宋体" w:hAnsi="宋体" w:eastAsia="宋体"/>
                <w:bCs/>
                <w:sz w:val="24"/>
                <w:szCs w:val="24"/>
              </w:rPr>
              <w:t>总数</w:t>
            </w:r>
          </w:p>
        </w:tc>
        <w:tc>
          <w:tcPr>
            <w:tcW w:w="1080" w:type="dxa"/>
            <w:vAlign w:val="center"/>
          </w:tcPr>
          <w:p>
            <w:pPr>
              <w:adjustRightInd w:val="0"/>
              <w:snapToGrid w:val="0"/>
              <w:spacing w:line="0" w:lineRule="atLeast"/>
              <w:jc w:val="center"/>
              <w:rPr>
                <w:rFonts w:ascii="宋体" w:hAnsi="宋体" w:eastAsia="宋体"/>
                <w:bCs/>
                <w:sz w:val="24"/>
                <w:szCs w:val="24"/>
              </w:rPr>
            </w:pPr>
            <w:r>
              <w:rPr>
                <w:rFonts w:hint="eastAsia" w:ascii="宋体" w:hAnsi="宋体" w:eastAsia="宋体"/>
                <w:bCs/>
                <w:sz w:val="24"/>
                <w:szCs w:val="24"/>
              </w:rPr>
              <w:t>生均</w:t>
            </w:r>
          </w:p>
        </w:tc>
        <w:tc>
          <w:tcPr>
            <w:tcW w:w="981" w:type="dxa"/>
            <w:vAlign w:val="center"/>
          </w:tcPr>
          <w:p>
            <w:pPr>
              <w:adjustRightInd w:val="0"/>
              <w:snapToGrid w:val="0"/>
              <w:spacing w:line="0" w:lineRule="atLeast"/>
              <w:jc w:val="center"/>
              <w:rPr>
                <w:rFonts w:hint="eastAsia" w:ascii="宋体" w:hAnsi="宋体" w:eastAsia="宋体"/>
                <w:bCs/>
                <w:sz w:val="24"/>
                <w:szCs w:val="24"/>
              </w:rPr>
            </w:pPr>
            <w:r>
              <w:rPr>
                <w:rFonts w:hint="eastAsia" w:ascii="宋体" w:hAnsi="宋体" w:eastAsia="宋体"/>
                <w:bCs/>
                <w:sz w:val="24"/>
                <w:szCs w:val="24"/>
              </w:rPr>
              <w:t>总数</w:t>
            </w:r>
          </w:p>
        </w:tc>
        <w:tc>
          <w:tcPr>
            <w:tcW w:w="861" w:type="dxa"/>
            <w:vAlign w:val="center"/>
          </w:tcPr>
          <w:p>
            <w:pPr>
              <w:adjustRightInd w:val="0"/>
              <w:snapToGrid w:val="0"/>
              <w:spacing w:line="0" w:lineRule="atLeast"/>
              <w:jc w:val="center"/>
              <w:rPr>
                <w:rFonts w:ascii="宋体" w:hAnsi="宋体" w:eastAsia="宋体"/>
                <w:bCs/>
                <w:sz w:val="24"/>
                <w:szCs w:val="24"/>
              </w:rPr>
            </w:pPr>
            <w:r>
              <w:rPr>
                <w:rFonts w:hint="eastAsia" w:ascii="宋体" w:hAnsi="宋体" w:eastAsia="宋体"/>
                <w:bCs/>
                <w:sz w:val="24"/>
                <w:szCs w:val="24"/>
              </w:rPr>
              <w:t>生均</w:t>
            </w:r>
          </w:p>
        </w:tc>
        <w:tc>
          <w:tcPr>
            <w:tcW w:w="858" w:type="dxa"/>
            <w:vMerge w:val="continue"/>
            <w:vAlign w:val="center"/>
          </w:tcPr>
          <w:p>
            <w:pPr>
              <w:adjustRightInd w:val="0"/>
              <w:snapToGrid w:val="0"/>
              <w:spacing w:line="0" w:lineRule="atLeast"/>
              <w:jc w:val="center"/>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40" w:type="dxa"/>
            <w:tcBorders>
              <w:bottom w:val="single" w:color="auto" w:sz="4" w:space="0"/>
            </w:tcBorders>
            <w:vAlign w:val="center"/>
          </w:tcPr>
          <w:p>
            <w:pPr>
              <w:spacing w:line="240" w:lineRule="atLeast"/>
              <w:jc w:val="center"/>
              <w:rPr>
                <w:rFonts w:hint="eastAsia" w:ascii="宋体" w:hAnsi="宋体" w:eastAsia="宋体" w:cs="宋体"/>
                <w:kern w:val="2"/>
                <w:sz w:val="24"/>
                <w:szCs w:val="24"/>
                <w:lang w:val="en-US" w:eastAsia="zh-CN" w:bidi="ar-SA"/>
              </w:rPr>
            </w:pPr>
            <w:r>
              <w:rPr>
                <w:rFonts w:ascii="宋体" w:hAnsi="宋体" w:eastAsia="宋体"/>
                <w:sz w:val="24"/>
                <w:szCs w:val="24"/>
              </w:rPr>
              <w:t>201</w:t>
            </w:r>
            <w:r>
              <w:rPr>
                <w:rFonts w:hint="eastAsia" w:ascii="宋体" w:hAnsi="宋体" w:eastAsia="宋体"/>
                <w:sz w:val="24"/>
                <w:szCs w:val="24"/>
              </w:rPr>
              <w:t>7</w:t>
            </w:r>
            <w:r>
              <w:rPr>
                <w:rFonts w:ascii="宋体" w:hAnsi="宋体" w:eastAsia="宋体"/>
                <w:sz w:val="24"/>
                <w:szCs w:val="24"/>
              </w:rPr>
              <w:t>～201</w:t>
            </w:r>
            <w:r>
              <w:rPr>
                <w:rFonts w:hint="eastAsia" w:ascii="宋体" w:hAnsi="宋体" w:eastAsia="宋体"/>
                <w:sz w:val="24"/>
                <w:szCs w:val="24"/>
              </w:rPr>
              <w:t>8</w:t>
            </w:r>
          </w:p>
        </w:tc>
        <w:tc>
          <w:tcPr>
            <w:tcW w:w="1080" w:type="dxa"/>
            <w:tcBorders>
              <w:bottom w:val="single" w:color="auto" w:sz="4" w:space="0"/>
            </w:tcBorders>
            <w:vAlign w:val="center"/>
          </w:tcPr>
          <w:p>
            <w:pPr>
              <w:adjustRightInd w:val="0"/>
              <w:snapToGrid w:val="0"/>
              <w:spacing w:line="0" w:lineRule="atLeast"/>
              <w:jc w:val="center"/>
              <w:rPr>
                <w:rFonts w:hint="eastAsia" w:ascii="宋体" w:hAnsi="宋体" w:eastAsia="宋体" w:cstheme="minorBidi"/>
                <w:bCs/>
                <w:kern w:val="2"/>
                <w:sz w:val="24"/>
                <w:szCs w:val="24"/>
                <w:u w:val="single"/>
                <w:lang w:val="en-US" w:eastAsia="zh-CN" w:bidi="ar-SA"/>
              </w:rPr>
            </w:pPr>
            <w:r>
              <w:rPr>
                <w:rFonts w:hint="eastAsia" w:ascii="宋体" w:hAnsi="宋体" w:eastAsia="宋体"/>
                <w:bCs/>
                <w:sz w:val="24"/>
                <w:szCs w:val="24"/>
                <w:u w:val="single"/>
              </w:rPr>
              <w:t>1500000</w:t>
            </w:r>
          </w:p>
        </w:tc>
        <w:tc>
          <w:tcPr>
            <w:tcW w:w="1110" w:type="dxa"/>
            <w:tcBorders>
              <w:bottom w:val="single" w:color="auto" w:sz="4" w:space="0"/>
            </w:tcBorders>
            <w:vAlign w:val="center"/>
          </w:tcPr>
          <w:p>
            <w:pPr>
              <w:adjustRightInd w:val="0"/>
              <w:snapToGrid w:val="0"/>
              <w:spacing w:line="0" w:lineRule="atLeast"/>
              <w:jc w:val="center"/>
              <w:rPr>
                <w:rFonts w:hint="eastAsia" w:ascii="宋体" w:hAnsi="宋体" w:eastAsia="宋体" w:cstheme="minorBidi"/>
                <w:bCs/>
                <w:kern w:val="2"/>
                <w:sz w:val="24"/>
                <w:szCs w:val="24"/>
                <w:u w:val="single"/>
                <w:lang w:val="en-US" w:eastAsia="zh-CN" w:bidi="ar-SA"/>
              </w:rPr>
            </w:pPr>
            <w:r>
              <w:rPr>
                <w:rFonts w:hint="eastAsia" w:ascii="宋体" w:hAnsi="宋体" w:eastAsia="宋体"/>
                <w:bCs/>
                <w:sz w:val="24"/>
                <w:szCs w:val="24"/>
                <w:u w:val="single"/>
              </w:rPr>
              <w:t>1268</w:t>
            </w:r>
          </w:p>
        </w:tc>
        <w:tc>
          <w:tcPr>
            <w:tcW w:w="1158" w:type="dxa"/>
            <w:tcBorders>
              <w:bottom w:val="single" w:color="auto" w:sz="4" w:space="0"/>
            </w:tcBorders>
            <w:vAlign w:val="center"/>
          </w:tcPr>
          <w:p>
            <w:pPr>
              <w:adjustRightInd w:val="0"/>
              <w:snapToGrid w:val="0"/>
              <w:spacing w:line="0" w:lineRule="atLeast"/>
              <w:jc w:val="center"/>
              <w:rPr>
                <w:rFonts w:hint="eastAsia" w:ascii="宋体" w:hAnsi="宋体" w:eastAsia="宋体" w:cstheme="minorBidi"/>
                <w:bCs/>
                <w:kern w:val="2"/>
                <w:sz w:val="24"/>
                <w:szCs w:val="24"/>
                <w:u w:val="single"/>
                <w:lang w:val="en-US" w:eastAsia="zh-CN" w:bidi="ar-SA"/>
              </w:rPr>
            </w:pPr>
            <w:r>
              <w:rPr>
                <w:rFonts w:hint="eastAsia" w:ascii="宋体" w:hAnsi="宋体" w:eastAsia="宋体"/>
                <w:bCs/>
                <w:sz w:val="24"/>
                <w:szCs w:val="24"/>
                <w:u w:val="single"/>
              </w:rPr>
              <w:t>190</w:t>
            </w:r>
          </w:p>
        </w:tc>
        <w:tc>
          <w:tcPr>
            <w:tcW w:w="1080" w:type="dxa"/>
            <w:tcBorders>
              <w:bottom w:val="single" w:color="auto" w:sz="4" w:space="0"/>
            </w:tcBorders>
            <w:vAlign w:val="center"/>
          </w:tcPr>
          <w:p>
            <w:pPr>
              <w:adjustRightInd w:val="0"/>
              <w:snapToGrid w:val="0"/>
              <w:spacing w:line="0" w:lineRule="atLeast"/>
              <w:jc w:val="center"/>
              <w:rPr>
                <w:rFonts w:hint="eastAsia" w:ascii="宋体" w:hAnsi="宋体" w:eastAsia="宋体" w:cstheme="minorBidi"/>
                <w:bCs/>
                <w:kern w:val="2"/>
                <w:sz w:val="24"/>
                <w:szCs w:val="24"/>
                <w:u w:val="single"/>
                <w:lang w:val="en-US" w:eastAsia="zh-CN" w:bidi="ar-SA"/>
              </w:rPr>
            </w:pPr>
            <w:r>
              <w:rPr>
                <w:rFonts w:hint="eastAsia" w:ascii="宋体" w:hAnsi="宋体" w:eastAsia="宋体"/>
                <w:bCs/>
                <w:sz w:val="24"/>
                <w:szCs w:val="24"/>
                <w:u w:val="single"/>
              </w:rPr>
              <w:t>0.16</w:t>
            </w:r>
          </w:p>
        </w:tc>
        <w:tc>
          <w:tcPr>
            <w:tcW w:w="981" w:type="dxa"/>
            <w:tcBorders>
              <w:bottom w:val="single" w:color="auto" w:sz="4" w:space="0"/>
            </w:tcBorders>
            <w:vAlign w:val="center"/>
          </w:tcPr>
          <w:p>
            <w:pPr>
              <w:adjustRightInd w:val="0"/>
              <w:snapToGrid w:val="0"/>
              <w:spacing w:line="0" w:lineRule="atLeast"/>
              <w:rPr>
                <w:rFonts w:hint="eastAsia" w:ascii="宋体" w:hAnsi="宋体" w:eastAsia="宋体" w:cstheme="minorBidi"/>
                <w:bCs/>
                <w:kern w:val="2"/>
                <w:sz w:val="24"/>
                <w:szCs w:val="24"/>
                <w:u w:val="single"/>
                <w:lang w:val="en-US" w:eastAsia="zh-CN" w:bidi="ar-SA"/>
              </w:rPr>
            </w:pPr>
            <w:r>
              <w:rPr>
                <w:rFonts w:hint="eastAsia" w:ascii="宋体" w:hAnsi="宋体" w:eastAsia="宋体"/>
                <w:bCs/>
                <w:sz w:val="24"/>
                <w:szCs w:val="24"/>
                <w:u w:val="single"/>
              </w:rPr>
              <w:t>22000</w:t>
            </w:r>
          </w:p>
        </w:tc>
        <w:tc>
          <w:tcPr>
            <w:tcW w:w="861" w:type="dxa"/>
            <w:tcBorders>
              <w:bottom w:val="single" w:color="auto" w:sz="4" w:space="0"/>
            </w:tcBorders>
            <w:vAlign w:val="center"/>
          </w:tcPr>
          <w:p>
            <w:pPr>
              <w:adjustRightInd w:val="0"/>
              <w:snapToGrid w:val="0"/>
              <w:spacing w:line="0" w:lineRule="atLeast"/>
              <w:jc w:val="center"/>
              <w:rPr>
                <w:rFonts w:ascii="宋体" w:hAnsi="宋体" w:eastAsia="宋体" w:cstheme="minorBidi"/>
                <w:bCs/>
                <w:kern w:val="2"/>
                <w:sz w:val="24"/>
                <w:szCs w:val="24"/>
                <w:u w:val="single"/>
                <w:lang w:val="en-US" w:eastAsia="zh-CN" w:bidi="ar-SA"/>
              </w:rPr>
            </w:pPr>
            <w:r>
              <w:rPr>
                <w:rFonts w:hint="eastAsia" w:ascii="宋体" w:hAnsi="宋体" w:eastAsia="宋体"/>
                <w:bCs/>
                <w:sz w:val="24"/>
                <w:szCs w:val="24"/>
                <w:u w:val="single"/>
              </w:rPr>
              <w:t>19</w:t>
            </w:r>
          </w:p>
        </w:tc>
        <w:tc>
          <w:tcPr>
            <w:tcW w:w="858" w:type="dxa"/>
            <w:tcBorders>
              <w:bottom w:val="single" w:color="auto" w:sz="4" w:space="0"/>
            </w:tcBorders>
            <w:vAlign w:val="center"/>
          </w:tcPr>
          <w:p>
            <w:pPr>
              <w:adjustRightInd w:val="0"/>
              <w:snapToGrid w:val="0"/>
              <w:spacing w:line="0" w:lineRule="atLeast"/>
              <w:jc w:val="center"/>
              <w:rPr>
                <w:rFonts w:hint="eastAsia" w:ascii="宋体" w:hAnsi="宋体" w:eastAsia="宋体" w:cstheme="minorBidi"/>
                <w:bCs/>
                <w:kern w:val="2"/>
                <w:sz w:val="24"/>
                <w:szCs w:val="24"/>
                <w:u w:val="single"/>
                <w:lang w:val="en-US" w:eastAsia="zh-CN" w:bidi="ar-SA"/>
              </w:rPr>
            </w:pPr>
            <w:r>
              <w:rPr>
                <w:rFonts w:hint="eastAsia" w:ascii="宋体" w:hAnsi="宋体" w:eastAsia="宋体"/>
                <w:bCs/>
                <w:sz w:val="24"/>
                <w:szCs w:val="24"/>
                <w:u w:val="single"/>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40" w:type="dxa"/>
            <w:vAlign w:val="center"/>
          </w:tcPr>
          <w:p>
            <w:pPr>
              <w:spacing w:line="240" w:lineRule="atLeast"/>
              <w:jc w:val="center"/>
              <w:rPr>
                <w:rFonts w:hint="eastAsia" w:ascii="宋体" w:hAnsi="宋体" w:eastAsia="宋体" w:cs="宋体"/>
                <w:sz w:val="24"/>
                <w:szCs w:val="24"/>
                <w:lang w:eastAsia="zh-CN"/>
              </w:rPr>
            </w:pPr>
            <w:r>
              <w:rPr>
                <w:rFonts w:ascii="宋体" w:hAnsi="宋体" w:eastAsia="宋体"/>
                <w:sz w:val="24"/>
                <w:szCs w:val="24"/>
              </w:rPr>
              <w:t>201</w:t>
            </w:r>
            <w:r>
              <w:rPr>
                <w:rFonts w:hint="eastAsia" w:ascii="宋体" w:hAnsi="宋体" w:eastAsia="宋体"/>
                <w:sz w:val="24"/>
                <w:szCs w:val="24"/>
                <w:lang w:val="en-US" w:eastAsia="zh-CN"/>
              </w:rPr>
              <w:t>8</w:t>
            </w:r>
            <w:r>
              <w:rPr>
                <w:rFonts w:ascii="宋体" w:hAnsi="宋体" w:eastAsia="宋体"/>
                <w:sz w:val="24"/>
                <w:szCs w:val="24"/>
              </w:rPr>
              <w:t>～201</w:t>
            </w:r>
            <w:r>
              <w:rPr>
                <w:rFonts w:hint="eastAsia" w:ascii="宋体" w:hAnsi="宋体" w:eastAsia="宋体"/>
                <w:sz w:val="24"/>
                <w:szCs w:val="24"/>
                <w:lang w:val="en-US" w:eastAsia="zh-CN"/>
              </w:rPr>
              <w:t>9</w:t>
            </w:r>
          </w:p>
        </w:tc>
        <w:tc>
          <w:tcPr>
            <w:tcW w:w="1080" w:type="dxa"/>
            <w:vAlign w:val="center"/>
          </w:tcPr>
          <w:p>
            <w:pPr>
              <w:adjustRightInd w:val="0"/>
              <w:snapToGrid w:val="0"/>
              <w:spacing w:line="0" w:lineRule="atLeast"/>
              <w:jc w:val="center"/>
              <w:rPr>
                <w:rFonts w:hint="eastAsia" w:ascii="宋体" w:hAnsi="宋体" w:eastAsia="宋体" w:cstheme="minorBidi"/>
                <w:bCs/>
                <w:color w:val="auto"/>
                <w:kern w:val="2"/>
                <w:sz w:val="24"/>
                <w:szCs w:val="24"/>
                <w:highlight w:val="none"/>
                <w:u w:val="single"/>
                <w:lang w:val="en-US" w:eastAsia="zh-CN" w:bidi="ar-SA"/>
              </w:rPr>
            </w:pPr>
            <w:r>
              <w:rPr>
                <w:rFonts w:hint="eastAsia" w:ascii="宋体" w:hAnsi="宋体" w:eastAsia="宋体"/>
                <w:bCs/>
                <w:color w:val="auto"/>
                <w:sz w:val="24"/>
                <w:szCs w:val="24"/>
                <w:highlight w:val="none"/>
                <w:u w:val="single"/>
              </w:rPr>
              <w:t>1</w:t>
            </w:r>
            <w:r>
              <w:rPr>
                <w:rFonts w:hint="eastAsia" w:ascii="宋体" w:hAnsi="宋体" w:eastAsia="宋体"/>
                <w:bCs/>
                <w:color w:val="auto"/>
                <w:sz w:val="24"/>
                <w:szCs w:val="24"/>
                <w:highlight w:val="none"/>
                <w:u w:val="single"/>
                <w:lang w:val="en-US" w:eastAsia="zh-CN"/>
              </w:rPr>
              <w:t>9</w:t>
            </w:r>
            <w:r>
              <w:rPr>
                <w:rFonts w:hint="eastAsia" w:ascii="宋体" w:hAnsi="宋体" w:eastAsia="宋体"/>
                <w:bCs/>
                <w:color w:val="auto"/>
                <w:sz w:val="24"/>
                <w:szCs w:val="24"/>
                <w:highlight w:val="none"/>
                <w:u w:val="single"/>
              </w:rPr>
              <w:t>00000</w:t>
            </w:r>
          </w:p>
        </w:tc>
        <w:tc>
          <w:tcPr>
            <w:tcW w:w="1110" w:type="dxa"/>
            <w:vAlign w:val="center"/>
          </w:tcPr>
          <w:p>
            <w:pPr>
              <w:adjustRightInd w:val="0"/>
              <w:snapToGrid w:val="0"/>
              <w:spacing w:line="0" w:lineRule="atLeast"/>
              <w:jc w:val="center"/>
              <w:rPr>
                <w:rFonts w:hint="default" w:ascii="宋体" w:hAnsi="宋体" w:eastAsia="宋体" w:cstheme="minorBidi"/>
                <w:bCs/>
                <w:color w:val="auto"/>
                <w:kern w:val="2"/>
                <w:sz w:val="24"/>
                <w:szCs w:val="24"/>
                <w:highlight w:val="none"/>
                <w:u w:val="single"/>
                <w:lang w:val="en-US" w:eastAsia="zh-CN" w:bidi="ar-SA"/>
              </w:rPr>
            </w:pPr>
            <w:r>
              <w:rPr>
                <w:rFonts w:hint="eastAsia" w:ascii="宋体" w:hAnsi="宋体" w:eastAsia="宋体"/>
                <w:bCs/>
                <w:color w:val="auto"/>
                <w:sz w:val="24"/>
                <w:szCs w:val="24"/>
                <w:highlight w:val="none"/>
                <w:u w:val="single"/>
                <w:lang w:val="en-US" w:eastAsia="zh-CN"/>
              </w:rPr>
              <w:t>1565</w:t>
            </w:r>
          </w:p>
        </w:tc>
        <w:tc>
          <w:tcPr>
            <w:tcW w:w="1158" w:type="dxa"/>
            <w:vAlign w:val="center"/>
          </w:tcPr>
          <w:p>
            <w:pPr>
              <w:adjustRightInd w:val="0"/>
              <w:snapToGrid w:val="0"/>
              <w:spacing w:line="0" w:lineRule="atLeast"/>
              <w:jc w:val="center"/>
              <w:rPr>
                <w:rFonts w:hint="default" w:ascii="宋体" w:hAnsi="宋体" w:eastAsia="宋体" w:cstheme="minorBidi"/>
                <w:bCs/>
                <w:color w:val="auto"/>
                <w:kern w:val="2"/>
                <w:sz w:val="24"/>
                <w:szCs w:val="24"/>
                <w:highlight w:val="none"/>
                <w:u w:val="single"/>
                <w:lang w:val="en-US" w:eastAsia="zh-CN" w:bidi="ar-SA"/>
              </w:rPr>
            </w:pPr>
            <w:r>
              <w:rPr>
                <w:rFonts w:hint="eastAsia" w:ascii="宋体" w:hAnsi="宋体" w:eastAsia="宋体"/>
                <w:bCs/>
                <w:color w:val="auto"/>
                <w:sz w:val="24"/>
                <w:szCs w:val="24"/>
                <w:highlight w:val="none"/>
                <w:u w:val="single"/>
                <w:lang w:val="en-US" w:eastAsia="zh-CN"/>
              </w:rPr>
              <w:t>210</w:t>
            </w:r>
          </w:p>
        </w:tc>
        <w:tc>
          <w:tcPr>
            <w:tcW w:w="1080" w:type="dxa"/>
            <w:vAlign w:val="center"/>
          </w:tcPr>
          <w:p>
            <w:pPr>
              <w:adjustRightInd w:val="0"/>
              <w:snapToGrid w:val="0"/>
              <w:spacing w:line="0" w:lineRule="atLeast"/>
              <w:jc w:val="center"/>
              <w:rPr>
                <w:rFonts w:hint="eastAsia" w:ascii="宋体" w:hAnsi="宋体" w:eastAsia="宋体" w:cstheme="minorBidi"/>
                <w:bCs/>
                <w:color w:val="auto"/>
                <w:kern w:val="2"/>
                <w:sz w:val="24"/>
                <w:szCs w:val="24"/>
                <w:highlight w:val="none"/>
                <w:u w:val="single"/>
                <w:lang w:val="en-US" w:eastAsia="zh-CN" w:bidi="ar-SA"/>
              </w:rPr>
            </w:pPr>
            <w:r>
              <w:rPr>
                <w:rFonts w:hint="eastAsia" w:ascii="宋体" w:hAnsi="宋体" w:eastAsia="宋体"/>
                <w:bCs/>
                <w:color w:val="auto"/>
                <w:sz w:val="24"/>
                <w:szCs w:val="24"/>
                <w:highlight w:val="none"/>
                <w:u w:val="single"/>
              </w:rPr>
              <w:t>0.1</w:t>
            </w:r>
            <w:r>
              <w:rPr>
                <w:rFonts w:hint="eastAsia" w:ascii="宋体" w:hAnsi="宋体" w:eastAsia="宋体"/>
                <w:bCs/>
                <w:color w:val="auto"/>
                <w:sz w:val="24"/>
                <w:szCs w:val="24"/>
                <w:highlight w:val="none"/>
                <w:u w:val="single"/>
                <w:lang w:val="en-US" w:eastAsia="zh-CN"/>
              </w:rPr>
              <w:t>7</w:t>
            </w:r>
          </w:p>
        </w:tc>
        <w:tc>
          <w:tcPr>
            <w:tcW w:w="981" w:type="dxa"/>
            <w:vAlign w:val="center"/>
          </w:tcPr>
          <w:p>
            <w:pPr>
              <w:adjustRightInd w:val="0"/>
              <w:snapToGrid w:val="0"/>
              <w:spacing w:line="0" w:lineRule="atLeast"/>
              <w:rPr>
                <w:rFonts w:hint="eastAsia" w:ascii="宋体" w:hAnsi="宋体" w:eastAsia="宋体" w:cstheme="minorBidi"/>
                <w:bCs/>
                <w:color w:val="auto"/>
                <w:kern w:val="2"/>
                <w:sz w:val="24"/>
                <w:szCs w:val="24"/>
                <w:highlight w:val="none"/>
                <w:u w:val="single"/>
                <w:lang w:val="en-US" w:eastAsia="zh-CN" w:bidi="ar-SA"/>
              </w:rPr>
            </w:pPr>
            <w:r>
              <w:rPr>
                <w:rFonts w:hint="eastAsia" w:ascii="宋体" w:hAnsi="宋体" w:eastAsia="宋体"/>
                <w:bCs/>
                <w:color w:val="auto"/>
                <w:sz w:val="24"/>
                <w:szCs w:val="24"/>
                <w:highlight w:val="none"/>
                <w:u w:val="single"/>
              </w:rPr>
              <w:t>2</w:t>
            </w:r>
            <w:r>
              <w:rPr>
                <w:rFonts w:hint="eastAsia" w:ascii="宋体" w:hAnsi="宋体" w:eastAsia="宋体"/>
                <w:bCs/>
                <w:color w:val="auto"/>
                <w:sz w:val="24"/>
                <w:szCs w:val="24"/>
                <w:highlight w:val="none"/>
                <w:u w:val="single"/>
                <w:lang w:val="en-US" w:eastAsia="zh-CN"/>
              </w:rPr>
              <w:t>7</w:t>
            </w:r>
            <w:r>
              <w:rPr>
                <w:rFonts w:hint="eastAsia" w:ascii="宋体" w:hAnsi="宋体" w:eastAsia="宋体"/>
                <w:bCs/>
                <w:color w:val="auto"/>
                <w:sz w:val="24"/>
                <w:szCs w:val="24"/>
                <w:highlight w:val="none"/>
                <w:u w:val="single"/>
              </w:rPr>
              <w:t>000</w:t>
            </w:r>
          </w:p>
        </w:tc>
        <w:tc>
          <w:tcPr>
            <w:tcW w:w="861" w:type="dxa"/>
            <w:vAlign w:val="center"/>
          </w:tcPr>
          <w:p>
            <w:pPr>
              <w:adjustRightInd w:val="0"/>
              <w:snapToGrid w:val="0"/>
              <w:spacing w:line="0" w:lineRule="atLeast"/>
              <w:jc w:val="center"/>
              <w:rPr>
                <w:rFonts w:hint="default" w:ascii="宋体" w:hAnsi="宋体" w:eastAsia="宋体" w:cstheme="minorBidi"/>
                <w:bCs/>
                <w:color w:val="auto"/>
                <w:kern w:val="2"/>
                <w:sz w:val="24"/>
                <w:szCs w:val="24"/>
                <w:highlight w:val="none"/>
                <w:u w:val="single"/>
                <w:lang w:val="en-US" w:eastAsia="zh-CN" w:bidi="ar-SA"/>
              </w:rPr>
            </w:pPr>
            <w:r>
              <w:rPr>
                <w:rFonts w:hint="eastAsia" w:ascii="宋体" w:hAnsi="宋体" w:eastAsia="宋体"/>
                <w:bCs/>
                <w:color w:val="auto"/>
                <w:sz w:val="24"/>
                <w:szCs w:val="24"/>
                <w:highlight w:val="none"/>
                <w:u w:val="single"/>
                <w:lang w:val="en-US" w:eastAsia="zh-CN"/>
              </w:rPr>
              <w:t>22</w:t>
            </w:r>
          </w:p>
        </w:tc>
        <w:tc>
          <w:tcPr>
            <w:tcW w:w="858" w:type="dxa"/>
            <w:vAlign w:val="center"/>
          </w:tcPr>
          <w:p>
            <w:pPr>
              <w:adjustRightInd w:val="0"/>
              <w:snapToGrid w:val="0"/>
              <w:spacing w:line="0" w:lineRule="atLeast"/>
              <w:jc w:val="center"/>
              <w:rPr>
                <w:rFonts w:hint="eastAsia" w:ascii="宋体" w:hAnsi="宋体" w:eastAsia="宋体" w:cstheme="minorBidi"/>
                <w:bCs/>
                <w:color w:val="auto"/>
                <w:kern w:val="2"/>
                <w:sz w:val="24"/>
                <w:szCs w:val="24"/>
                <w:highlight w:val="none"/>
                <w:u w:val="single"/>
                <w:lang w:val="en-US" w:eastAsia="zh-CN" w:bidi="ar-SA"/>
              </w:rPr>
            </w:pPr>
            <w:r>
              <w:rPr>
                <w:rFonts w:hint="eastAsia" w:ascii="宋体" w:hAnsi="宋体" w:eastAsia="宋体"/>
                <w:bCs/>
                <w:color w:val="auto"/>
                <w:sz w:val="24"/>
                <w:szCs w:val="24"/>
                <w:highlight w:val="none"/>
                <w:u w:val="single"/>
              </w:rPr>
              <w:t>1</w:t>
            </w:r>
            <w:r>
              <w:rPr>
                <w:rFonts w:hint="eastAsia" w:ascii="宋体" w:hAnsi="宋体" w:eastAsia="宋体"/>
                <w:bCs/>
                <w:color w:val="auto"/>
                <w:sz w:val="24"/>
                <w:szCs w:val="24"/>
                <w:highlight w:val="none"/>
                <w:u w:val="single"/>
                <w:lang w:val="en-US" w:eastAsia="zh-CN"/>
              </w:rPr>
              <w:t>2</w:t>
            </w:r>
            <w:r>
              <w:rPr>
                <w:rFonts w:hint="eastAsia" w:ascii="宋体" w:hAnsi="宋体" w:eastAsia="宋体"/>
                <w:bCs/>
                <w:color w:val="auto"/>
                <w:sz w:val="24"/>
                <w:szCs w:val="24"/>
                <w:highlight w:val="none"/>
                <w:u w:val="single"/>
              </w:rPr>
              <w:t>0</w:t>
            </w:r>
          </w:p>
        </w:tc>
      </w:tr>
    </w:tbl>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r>
        <w:rPr>
          <w:rFonts w:ascii="宋体" w:hAnsi="宋体" w:eastAsia="宋体" w:cs="宋体"/>
          <w:kern w:val="0"/>
          <w:sz w:val="24"/>
          <w:szCs w:val="24"/>
        </w:rPr>
        <w:t>2.学生发展</w:t>
      </w:r>
      <w:r>
        <w:rPr>
          <w:rFonts w:ascii="宋体" w:hAnsi="宋体" w:eastAsia="宋体" w:cs="宋体"/>
          <w:kern w:val="0"/>
          <w:sz w:val="24"/>
          <w:szCs w:val="24"/>
        </w:rPr>
        <w:br w:type="textWrapping"/>
      </w:r>
      <w:r>
        <w:rPr>
          <w:rFonts w:ascii="宋体" w:hAnsi="宋体" w:eastAsia="宋体" w:cs="宋体"/>
          <w:kern w:val="0"/>
          <w:sz w:val="24"/>
          <w:szCs w:val="24"/>
        </w:rPr>
        <w:t>2.1学生素质。</w:t>
      </w:r>
      <w:r>
        <w:rPr>
          <w:rFonts w:ascii="宋体" w:hAnsi="宋体" w:eastAsia="宋体" w:cs="宋体"/>
          <w:kern w:val="0"/>
          <w:sz w:val="24"/>
          <w:szCs w:val="24"/>
        </w:rPr>
        <w:br w:type="textWrapping"/>
      </w:r>
      <w:r>
        <w:rPr>
          <w:rFonts w:ascii="宋体" w:hAnsi="宋体" w:eastAsia="宋体" w:cs="宋体"/>
          <w:kern w:val="0"/>
          <w:sz w:val="24"/>
          <w:szCs w:val="24"/>
        </w:rPr>
        <w:t>2.1.1培养内容。</w:t>
      </w:r>
      <w:r>
        <w:rPr>
          <w:rFonts w:ascii="宋体" w:hAnsi="宋体" w:eastAsia="宋体" w:cs="宋体"/>
          <w:kern w:val="0"/>
          <w:sz w:val="24"/>
          <w:szCs w:val="24"/>
        </w:rPr>
        <w:br w:type="textWrapping"/>
      </w:r>
      <w:r>
        <w:rPr>
          <w:rFonts w:hint="eastAsia" w:ascii="宋体" w:hAnsi="宋体" w:eastAsia="宋体" w:cs="Arial"/>
          <w:color w:val="555555"/>
          <w:sz w:val="24"/>
          <w:szCs w:val="24"/>
        </w:rPr>
        <w:t xml:space="preserve"> </w:t>
      </w:r>
      <w:r>
        <w:rPr>
          <w:rFonts w:ascii="宋体" w:hAnsi="宋体" w:eastAsia="宋体" w:cs="Arial"/>
          <w:color w:val="555555"/>
          <w:sz w:val="24"/>
          <w:szCs w:val="24"/>
        </w:rPr>
        <w:t xml:space="preserve">   </w:t>
      </w:r>
      <w:r>
        <w:rPr>
          <w:rFonts w:hint="eastAsia" w:ascii="宋体" w:hAnsi="宋体" w:eastAsia="宋体" w:cs="Arial"/>
          <w:color w:val="auto"/>
          <w:sz w:val="24"/>
          <w:szCs w:val="24"/>
        </w:rPr>
        <w:t>学校坚持以习近平总书记提出的“产教融合、校企合作，工学一体、知行合一”为指导思想，探索出了</w:t>
      </w:r>
      <w:r>
        <w:rPr>
          <w:rFonts w:hint="eastAsia" w:ascii="宋体" w:hAnsi="宋体" w:eastAsia="宋体"/>
          <w:color w:val="auto"/>
          <w:sz w:val="24"/>
          <w:szCs w:val="24"/>
          <w:shd w:val="clear" w:color="auto" w:fill="FFFFFF"/>
        </w:rPr>
        <w:t>“一二三四”的办学道路，即以“服务实体经济发展为中心”，以“学院围绕企业转，学生围绕市场转”为办学思路，努力建设阜阳市“高技能人才培养平台”、“招商引智平台”、“双创孵化平台”，探索出了“学校像工厂、教室像车间、老师像师傅、学生像徒弟”的“四像办学模式”。</w:t>
      </w:r>
      <w:r>
        <w:rPr>
          <w:rFonts w:ascii="宋体" w:hAnsi="宋体" w:eastAsia="宋体" w:cs="宋体"/>
          <w:kern w:val="0"/>
          <w:sz w:val="24"/>
          <w:szCs w:val="24"/>
        </w:rPr>
        <w:t>注重学生思想品德教育，通过丰富多彩的活动引领学生，开齐开足德育课，在校生犯罪率为零；强化教学常规管理，注重学生专业思想教育，不断提高学生学习的积极性，学生思想品德课合格率达</w:t>
      </w:r>
      <w:r>
        <w:rPr>
          <w:rFonts w:hint="eastAsia" w:ascii="宋体" w:hAnsi="宋体" w:eastAsia="宋体" w:cs="宋体"/>
          <w:kern w:val="0"/>
          <w:sz w:val="24"/>
          <w:szCs w:val="24"/>
        </w:rPr>
        <w:t>99</w:t>
      </w:r>
      <w:r>
        <w:rPr>
          <w:rFonts w:ascii="宋体" w:hAnsi="宋体" w:eastAsia="宋体" w:cs="宋体"/>
          <w:kern w:val="0"/>
          <w:sz w:val="24"/>
          <w:szCs w:val="24"/>
        </w:rPr>
        <w:t>%</w:t>
      </w:r>
      <w:r>
        <w:rPr>
          <w:rFonts w:hint="eastAsia" w:ascii="宋体" w:hAnsi="宋体" w:eastAsia="宋体" w:cs="宋体"/>
          <w:kern w:val="0"/>
          <w:sz w:val="24"/>
          <w:szCs w:val="24"/>
        </w:rPr>
        <w:t>以上</w:t>
      </w:r>
      <w:r>
        <w:rPr>
          <w:rFonts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kern w:val="0"/>
          <w:sz w:val="24"/>
          <w:szCs w:val="24"/>
        </w:rPr>
        <w:t>学校以培养就业和职对口高考为引领，抓紧抓牢文化课教育，教务管理部门对基础文化课教育实施统一测试，提高人才培养质量，组织学生参加文化课考试，文化课合格率达</w:t>
      </w:r>
      <w:r>
        <w:rPr>
          <w:rFonts w:hint="eastAsia" w:ascii="宋体" w:hAnsi="宋体" w:eastAsia="宋体" w:cs="宋体"/>
          <w:kern w:val="0"/>
          <w:sz w:val="24"/>
          <w:szCs w:val="24"/>
        </w:rPr>
        <w:t>99</w:t>
      </w:r>
      <w:r>
        <w:rPr>
          <w:rFonts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kern w:val="0"/>
          <w:sz w:val="24"/>
          <w:szCs w:val="24"/>
        </w:rPr>
        <w:t>学校有序开展技能训练，按照人才培养方案开展专业技能训练，学生技能水平得到明显提升，学生专业技能测试合格率达</w:t>
      </w:r>
      <w:r>
        <w:rPr>
          <w:rFonts w:hint="eastAsia" w:ascii="宋体" w:hAnsi="宋体" w:eastAsia="宋体" w:cs="宋体"/>
          <w:kern w:val="0"/>
          <w:sz w:val="24"/>
          <w:szCs w:val="24"/>
        </w:rPr>
        <w:t>9</w:t>
      </w:r>
      <w:r>
        <w:rPr>
          <w:rFonts w:hint="eastAsia" w:ascii="宋体" w:hAnsi="宋体" w:eastAsia="宋体" w:cs="宋体"/>
          <w:kern w:val="0"/>
          <w:sz w:val="24"/>
          <w:szCs w:val="24"/>
          <w:lang w:val="en-US" w:eastAsia="zh-CN"/>
        </w:rPr>
        <w:t>5</w:t>
      </w:r>
      <w:r>
        <w:rPr>
          <w:rFonts w:ascii="宋体" w:hAnsi="宋体" w:eastAsia="宋体" w:cs="宋体"/>
          <w:kern w:val="0"/>
          <w:sz w:val="24"/>
          <w:szCs w:val="24"/>
        </w:rPr>
        <w:t>%以上。</w:t>
      </w:r>
      <w:r>
        <w:rPr>
          <w:rFonts w:ascii="宋体" w:hAnsi="宋体" w:eastAsia="宋体" w:cs="宋体"/>
          <w:kern w:val="0"/>
          <w:sz w:val="24"/>
          <w:szCs w:val="24"/>
        </w:rPr>
        <w:br w:type="textWrapping"/>
      </w:r>
      <w:r>
        <w:rPr>
          <w:rFonts w:ascii="宋体" w:hAnsi="宋体" w:eastAsia="宋体" w:cs="宋体"/>
          <w:kern w:val="0"/>
          <w:sz w:val="24"/>
          <w:szCs w:val="24"/>
        </w:rPr>
        <w:t>重视体育卫生工作，开齐、开足体育课、音乐课，加强学生体质监控，学生体质测评合格率达99%。</w:t>
      </w:r>
      <w:r>
        <w:rPr>
          <w:rFonts w:ascii="宋体" w:hAnsi="宋体" w:eastAsia="宋体" w:cs="宋体"/>
          <w:kern w:val="0"/>
          <w:sz w:val="24"/>
          <w:szCs w:val="24"/>
        </w:rPr>
        <w:br w:type="textWrapping"/>
      </w:r>
      <w:r>
        <w:rPr>
          <w:rFonts w:ascii="宋体" w:hAnsi="宋体" w:eastAsia="宋体" w:cs="宋体"/>
          <w:kern w:val="0"/>
          <w:sz w:val="24"/>
          <w:szCs w:val="24"/>
        </w:rPr>
        <w:t>规范学籍管理，注重学业水平监控，学生毕业率达</w:t>
      </w:r>
      <w:r>
        <w:rPr>
          <w:rFonts w:hint="eastAsia" w:ascii="宋体" w:hAnsi="宋体" w:eastAsia="宋体" w:cs="宋体"/>
          <w:kern w:val="0"/>
          <w:sz w:val="24"/>
          <w:szCs w:val="24"/>
        </w:rPr>
        <w:t>100</w:t>
      </w:r>
      <w:r>
        <w:rPr>
          <w:rFonts w:ascii="宋体" w:hAnsi="宋体" w:eastAsia="宋体" w:cs="宋体"/>
          <w:kern w:val="0"/>
          <w:sz w:val="24"/>
          <w:szCs w:val="24"/>
        </w:rPr>
        <w:t>%。</w:t>
      </w:r>
    </w:p>
    <w:p>
      <w:pPr>
        <w:widowControl/>
        <w:jc w:val="left"/>
        <w:rPr>
          <w:rFonts w:ascii="宋体" w:hAnsi="宋体" w:eastAsia="宋体" w:cs="宋体"/>
          <w:kern w:val="0"/>
          <w:sz w:val="24"/>
          <w:szCs w:val="24"/>
        </w:rPr>
      </w:pPr>
      <w:r>
        <w:rPr>
          <w:rFonts w:ascii="宋体" w:hAnsi="宋体" w:eastAsia="宋体" w:cs="宋体"/>
          <w:kern w:val="0"/>
          <w:sz w:val="24"/>
          <w:szCs w:val="24"/>
        </w:rPr>
        <w:t>表2-1 近两学年中等职业学校学生素质发展情况一览表</w:t>
      </w:r>
    </w:p>
    <w:tbl>
      <w:tblPr>
        <w:tblStyle w:val="5"/>
        <w:tblW w:w="9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723"/>
        <w:gridCol w:w="753"/>
        <w:gridCol w:w="709"/>
        <w:gridCol w:w="901"/>
        <w:gridCol w:w="819"/>
        <w:gridCol w:w="804"/>
        <w:gridCol w:w="720"/>
        <w:gridCol w:w="901"/>
        <w:gridCol w:w="107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49" w:type="dxa"/>
            <w:vMerge w:val="restart"/>
            <w:vAlign w:val="center"/>
          </w:tcPr>
          <w:p>
            <w:pPr>
              <w:adjustRightInd w:val="0"/>
              <w:snapToGrid w:val="0"/>
              <w:spacing w:line="240" w:lineRule="exact"/>
              <w:jc w:val="center"/>
              <w:rPr>
                <w:rFonts w:ascii="宋体" w:hAnsi="宋体" w:eastAsia="宋体"/>
                <w:bCs/>
                <w:sz w:val="24"/>
                <w:szCs w:val="24"/>
              </w:rPr>
            </w:pPr>
            <w:r>
              <w:rPr>
                <w:rFonts w:hint="eastAsia" w:ascii="宋体" w:hAnsi="宋体" w:eastAsia="宋体"/>
                <w:bCs/>
                <w:sz w:val="24"/>
                <w:szCs w:val="24"/>
              </w:rPr>
              <w:t>学年度</w:t>
            </w:r>
          </w:p>
        </w:tc>
        <w:tc>
          <w:tcPr>
            <w:tcW w:w="1476" w:type="dxa"/>
            <w:gridSpan w:val="2"/>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思想品德鉴定</w:t>
            </w:r>
          </w:p>
        </w:tc>
        <w:tc>
          <w:tcPr>
            <w:tcW w:w="1610" w:type="dxa"/>
            <w:gridSpan w:val="2"/>
            <w:vAlign w:val="center"/>
          </w:tcPr>
          <w:p>
            <w:pPr>
              <w:adjustRightInd w:val="0"/>
              <w:snapToGrid w:val="0"/>
              <w:spacing w:line="240" w:lineRule="exact"/>
              <w:jc w:val="center"/>
              <w:rPr>
                <w:rFonts w:ascii="宋体" w:hAnsi="宋体" w:eastAsia="宋体"/>
                <w:bCs/>
                <w:sz w:val="24"/>
                <w:szCs w:val="24"/>
              </w:rPr>
            </w:pPr>
            <w:r>
              <w:rPr>
                <w:rFonts w:hint="eastAsia" w:ascii="宋体" w:hAnsi="宋体" w:eastAsia="宋体"/>
                <w:bCs/>
                <w:sz w:val="24"/>
                <w:szCs w:val="24"/>
              </w:rPr>
              <w:t>文化课测试</w:t>
            </w:r>
          </w:p>
        </w:tc>
        <w:tc>
          <w:tcPr>
            <w:tcW w:w="1623" w:type="dxa"/>
            <w:gridSpan w:val="2"/>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专业技能测试</w:t>
            </w:r>
          </w:p>
        </w:tc>
        <w:tc>
          <w:tcPr>
            <w:tcW w:w="1621" w:type="dxa"/>
            <w:gridSpan w:val="2"/>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体质测评</w:t>
            </w:r>
          </w:p>
        </w:tc>
        <w:tc>
          <w:tcPr>
            <w:tcW w:w="1975" w:type="dxa"/>
            <w:gridSpan w:val="2"/>
            <w:vAlign w:val="center"/>
          </w:tcPr>
          <w:p>
            <w:pPr>
              <w:adjustRightInd w:val="0"/>
              <w:snapToGrid w:val="0"/>
              <w:spacing w:line="240" w:lineRule="exact"/>
              <w:jc w:val="center"/>
              <w:rPr>
                <w:rFonts w:ascii="宋体" w:hAnsi="宋体" w:eastAsia="宋体"/>
                <w:bCs/>
                <w:sz w:val="24"/>
                <w:szCs w:val="24"/>
              </w:rPr>
            </w:pPr>
            <w:r>
              <w:rPr>
                <w:rFonts w:hint="eastAsia" w:ascii="宋体" w:hAnsi="宋体" w:eastAsia="宋体"/>
                <w:bCs/>
                <w:sz w:val="24"/>
                <w:szCs w:val="24"/>
              </w:rPr>
              <w:t>毕业率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1349" w:type="dxa"/>
            <w:vMerge w:val="continue"/>
            <w:vAlign w:val="center"/>
          </w:tcPr>
          <w:p>
            <w:pPr>
              <w:adjustRightInd w:val="0"/>
              <w:snapToGrid w:val="0"/>
              <w:spacing w:line="240" w:lineRule="exact"/>
              <w:jc w:val="center"/>
              <w:rPr>
                <w:rFonts w:hint="eastAsia" w:ascii="宋体" w:hAnsi="宋体" w:eastAsia="宋体"/>
                <w:bCs/>
                <w:sz w:val="24"/>
                <w:szCs w:val="24"/>
              </w:rPr>
            </w:pPr>
          </w:p>
        </w:tc>
        <w:tc>
          <w:tcPr>
            <w:tcW w:w="723"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参加鉴定人数</w:t>
            </w:r>
          </w:p>
        </w:tc>
        <w:tc>
          <w:tcPr>
            <w:tcW w:w="753"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合格人数</w:t>
            </w:r>
          </w:p>
        </w:tc>
        <w:tc>
          <w:tcPr>
            <w:tcW w:w="709"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参加测试人数</w:t>
            </w:r>
          </w:p>
        </w:tc>
        <w:tc>
          <w:tcPr>
            <w:tcW w:w="901"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合格人数</w:t>
            </w:r>
          </w:p>
        </w:tc>
        <w:tc>
          <w:tcPr>
            <w:tcW w:w="819"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参加测试人数</w:t>
            </w:r>
          </w:p>
        </w:tc>
        <w:tc>
          <w:tcPr>
            <w:tcW w:w="804"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合格人数</w:t>
            </w:r>
          </w:p>
        </w:tc>
        <w:tc>
          <w:tcPr>
            <w:tcW w:w="720"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参加测评人数</w:t>
            </w:r>
          </w:p>
        </w:tc>
        <w:tc>
          <w:tcPr>
            <w:tcW w:w="901"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合格人数</w:t>
            </w:r>
          </w:p>
        </w:tc>
        <w:tc>
          <w:tcPr>
            <w:tcW w:w="1075"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毕业年级学生（人）</w:t>
            </w:r>
          </w:p>
        </w:tc>
        <w:tc>
          <w:tcPr>
            <w:tcW w:w="900"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毕业生数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jc w:val="center"/>
        </w:trPr>
        <w:tc>
          <w:tcPr>
            <w:tcW w:w="1349" w:type="dxa"/>
            <w:tcBorders>
              <w:bottom w:val="single" w:color="auto" w:sz="4" w:space="0"/>
            </w:tcBorders>
            <w:vAlign w:val="center"/>
          </w:tcPr>
          <w:p>
            <w:pPr>
              <w:spacing w:line="240" w:lineRule="atLeast"/>
              <w:jc w:val="center"/>
              <w:rPr>
                <w:rFonts w:hint="eastAsia" w:ascii="宋体" w:hAnsi="宋体" w:eastAsia="宋体" w:cs="宋体"/>
                <w:kern w:val="2"/>
                <w:sz w:val="24"/>
                <w:szCs w:val="24"/>
                <w:lang w:val="en-US" w:eastAsia="zh-CN" w:bidi="ar-SA"/>
              </w:rPr>
            </w:pPr>
            <w:r>
              <w:rPr>
                <w:rFonts w:ascii="宋体" w:hAnsi="宋体" w:eastAsia="宋体"/>
                <w:sz w:val="24"/>
                <w:szCs w:val="24"/>
              </w:rPr>
              <w:t>201</w:t>
            </w:r>
            <w:r>
              <w:rPr>
                <w:rFonts w:hint="eastAsia" w:ascii="宋体" w:hAnsi="宋体" w:eastAsia="宋体"/>
                <w:sz w:val="24"/>
                <w:szCs w:val="24"/>
              </w:rPr>
              <w:t>7</w:t>
            </w:r>
            <w:r>
              <w:rPr>
                <w:rFonts w:ascii="宋体" w:hAnsi="宋体" w:eastAsia="宋体"/>
                <w:sz w:val="24"/>
                <w:szCs w:val="24"/>
              </w:rPr>
              <w:t>～201</w:t>
            </w:r>
            <w:r>
              <w:rPr>
                <w:rFonts w:hint="eastAsia" w:ascii="宋体" w:hAnsi="宋体" w:eastAsia="宋体"/>
                <w:sz w:val="24"/>
                <w:szCs w:val="24"/>
              </w:rPr>
              <w:t>8</w:t>
            </w:r>
          </w:p>
        </w:tc>
        <w:tc>
          <w:tcPr>
            <w:tcW w:w="723" w:type="dxa"/>
            <w:vAlign w:val="center"/>
          </w:tcPr>
          <w:p>
            <w:pPr>
              <w:adjustRightInd w:val="0"/>
              <w:snapToGrid w:val="0"/>
              <w:spacing w:line="220" w:lineRule="atLeast"/>
              <w:rPr>
                <w:rFonts w:hint="eastAsia" w:ascii="宋体" w:hAnsi="宋体" w:eastAsia="宋体" w:cstheme="minorBidi"/>
                <w:kern w:val="2"/>
                <w:sz w:val="24"/>
                <w:szCs w:val="24"/>
                <w:lang w:val="en-US" w:eastAsia="zh-CN" w:bidi="ar-SA"/>
              </w:rPr>
            </w:pPr>
            <w:r>
              <w:rPr>
                <w:rFonts w:hint="eastAsia" w:ascii="宋体" w:hAnsi="宋体" w:eastAsia="宋体"/>
                <w:sz w:val="24"/>
                <w:szCs w:val="24"/>
              </w:rPr>
              <w:t>118</w:t>
            </w:r>
            <w:r>
              <w:rPr>
                <w:rFonts w:hint="eastAsia" w:ascii="宋体" w:hAnsi="宋体" w:eastAsia="宋体"/>
                <w:sz w:val="24"/>
                <w:szCs w:val="24"/>
                <w:lang w:val="en-US" w:eastAsia="zh-CN"/>
              </w:rPr>
              <w:t>7</w:t>
            </w:r>
          </w:p>
        </w:tc>
        <w:tc>
          <w:tcPr>
            <w:tcW w:w="753" w:type="dxa"/>
            <w:vAlign w:val="center"/>
          </w:tcPr>
          <w:p>
            <w:pPr>
              <w:adjustRightInd w:val="0"/>
              <w:snapToGrid w:val="0"/>
              <w:spacing w:line="220" w:lineRule="atLeast"/>
              <w:rPr>
                <w:rFonts w:hint="eastAsia" w:ascii="宋体" w:hAnsi="宋体" w:eastAsia="宋体" w:cstheme="minorBidi"/>
                <w:kern w:val="2"/>
                <w:sz w:val="24"/>
                <w:szCs w:val="24"/>
                <w:lang w:val="en-US" w:eastAsia="zh-CN" w:bidi="ar-SA"/>
              </w:rPr>
            </w:pPr>
            <w:r>
              <w:rPr>
                <w:rFonts w:hint="eastAsia" w:ascii="宋体" w:hAnsi="宋体" w:eastAsia="宋体"/>
                <w:sz w:val="24"/>
                <w:szCs w:val="24"/>
              </w:rPr>
              <w:t>118</w:t>
            </w:r>
            <w:r>
              <w:rPr>
                <w:rFonts w:hint="eastAsia" w:ascii="宋体" w:hAnsi="宋体" w:eastAsia="宋体"/>
                <w:sz w:val="24"/>
                <w:szCs w:val="24"/>
                <w:lang w:val="en-US" w:eastAsia="zh-CN"/>
              </w:rPr>
              <w:t>7</w:t>
            </w:r>
          </w:p>
        </w:tc>
        <w:tc>
          <w:tcPr>
            <w:tcW w:w="709" w:type="dxa"/>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118</w:t>
            </w:r>
            <w:r>
              <w:rPr>
                <w:rFonts w:hint="eastAsia" w:ascii="宋体" w:hAnsi="宋体" w:eastAsia="宋体"/>
                <w:sz w:val="24"/>
                <w:szCs w:val="24"/>
                <w:lang w:val="en-US" w:eastAsia="zh-CN"/>
              </w:rPr>
              <w:t>7</w:t>
            </w:r>
          </w:p>
        </w:tc>
        <w:tc>
          <w:tcPr>
            <w:tcW w:w="901" w:type="dxa"/>
            <w:vAlign w:val="center"/>
          </w:tcPr>
          <w:p>
            <w:pPr>
              <w:adjustRightInd w:val="0"/>
              <w:snapToGrid w:val="0"/>
              <w:spacing w:line="220" w:lineRule="atLeast"/>
              <w:rPr>
                <w:rFonts w:hint="default" w:ascii="宋体" w:hAnsi="宋体" w:eastAsia="宋体" w:cstheme="minorBidi"/>
                <w:kern w:val="2"/>
                <w:sz w:val="24"/>
                <w:szCs w:val="24"/>
                <w:lang w:val="en-US" w:eastAsia="zh-CN" w:bidi="ar-SA"/>
              </w:rPr>
            </w:pPr>
            <w:r>
              <w:rPr>
                <w:rFonts w:hint="eastAsia" w:ascii="宋体" w:hAnsi="宋体" w:eastAsia="宋体"/>
                <w:sz w:val="24"/>
                <w:szCs w:val="24"/>
              </w:rPr>
              <w:t>1</w:t>
            </w:r>
            <w:r>
              <w:rPr>
                <w:rFonts w:hint="eastAsia" w:ascii="宋体" w:hAnsi="宋体" w:eastAsia="宋体"/>
                <w:sz w:val="24"/>
                <w:szCs w:val="24"/>
                <w:lang w:val="en-US" w:eastAsia="zh-CN"/>
              </w:rPr>
              <w:t>177</w:t>
            </w:r>
          </w:p>
        </w:tc>
        <w:tc>
          <w:tcPr>
            <w:tcW w:w="819" w:type="dxa"/>
            <w:vAlign w:val="center"/>
          </w:tcPr>
          <w:p>
            <w:pPr>
              <w:adjustRightInd w:val="0"/>
              <w:snapToGrid w:val="0"/>
              <w:spacing w:line="220" w:lineRule="atLeast"/>
              <w:rPr>
                <w:rFonts w:hint="eastAsia" w:ascii="宋体" w:hAnsi="宋体" w:eastAsia="宋体" w:cstheme="minorBidi"/>
                <w:kern w:val="2"/>
                <w:sz w:val="24"/>
                <w:szCs w:val="24"/>
                <w:lang w:val="en-US" w:eastAsia="zh-CN" w:bidi="ar-SA"/>
              </w:rPr>
            </w:pPr>
            <w:r>
              <w:rPr>
                <w:rFonts w:hint="eastAsia" w:ascii="宋体" w:hAnsi="宋体" w:eastAsia="宋体"/>
                <w:sz w:val="24"/>
                <w:szCs w:val="24"/>
              </w:rPr>
              <w:t>118</w:t>
            </w:r>
            <w:r>
              <w:rPr>
                <w:rFonts w:hint="eastAsia" w:ascii="宋体" w:hAnsi="宋体" w:eastAsia="宋体"/>
                <w:sz w:val="24"/>
                <w:szCs w:val="24"/>
                <w:lang w:val="en-US" w:eastAsia="zh-CN"/>
              </w:rPr>
              <w:t>7</w:t>
            </w:r>
          </w:p>
        </w:tc>
        <w:tc>
          <w:tcPr>
            <w:tcW w:w="804" w:type="dxa"/>
            <w:vAlign w:val="center"/>
          </w:tcPr>
          <w:p>
            <w:pPr>
              <w:adjustRightInd w:val="0"/>
              <w:snapToGrid w:val="0"/>
              <w:spacing w:line="220" w:lineRule="atLeast"/>
              <w:jc w:val="center"/>
              <w:rPr>
                <w:rFonts w:hint="default" w:ascii="宋体" w:hAnsi="宋体" w:eastAsia="宋体" w:cstheme="minorBidi"/>
                <w:kern w:val="2"/>
                <w:sz w:val="24"/>
                <w:szCs w:val="24"/>
                <w:lang w:val="en-US" w:eastAsia="zh-CN" w:bidi="ar-SA"/>
              </w:rPr>
            </w:pPr>
            <w:r>
              <w:rPr>
                <w:rFonts w:hint="eastAsia" w:ascii="宋体" w:hAnsi="宋体" w:eastAsia="宋体"/>
                <w:sz w:val="24"/>
                <w:szCs w:val="24"/>
              </w:rPr>
              <w:t>1</w:t>
            </w:r>
            <w:r>
              <w:rPr>
                <w:rFonts w:hint="eastAsia" w:ascii="宋体" w:hAnsi="宋体" w:eastAsia="宋体"/>
                <w:sz w:val="24"/>
                <w:szCs w:val="24"/>
                <w:lang w:val="en-US" w:eastAsia="zh-CN"/>
              </w:rPr>
              <w:t>130</w:t>
            </w:r>
          </w:p>
        </w:tc>
        <w:tc>
          <w:tcPr>
            <w:tcW w:w="720" w:type="dxa"/>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118</w:t>
            </w:r>
            <w:r>
              <w:rPr>
                <w:rFonts w:hint="eastAsia" w:ascii="宋体" w:hAnsi="宋体" w:eastAsia="宋体"/>
                <w:sz w:val="24"/>
                <w:szCs w:val="24"/>
                <w:lang w:val="en-US" w:eastAsia="zh-CN"/>
              </w:rPr>
              <w:t>7</w:t>
            </w:r>
          </w:p>
        </w:tc>
        <w:tc>
          <w:tcPr>
            <w:tcW w:w="901" w:type="dxa"/>
            <w:vAlign w:val="center"/>
          </w:tcPr>
          <w:p>
            <w:pPr>
              <w:adjustRightInd w:val="0"/>
              <w:snapToGrid w:val="0"/>
              <w:spacing w:line="220" w:lineRule="atLeast"/>
              <w:rPr>
                <w:rFonts w:hint="eastAsia" w:ascii="宋体" w:hAnsi="宋体" w:eastAsia="宋体" w:cstheme="minorBidi"/>
                <w:kern w:val="2"/>
                <w:sz w:val="24"/>
                <w:szCs w:val="24"/>
                <w:lang w:val="en-US" w:eastAsia="zh-CN" w:bidi="ar-SA"/>
              </w:rPr>
            </w:pPr>
            <w:r>
              <w:rPr>
                <w:rFonts w:hint="eastAsia" w:ascii="宋体" w:hAnsi="宋体" w:eastAsia="宋体"/>
                <w:sz w:val="24"/>
                <w:szCs w:val="24"/>
              </w:rPr>
              <w:t>1178</w:t>
            </w:r>
          </w:p>
        </w:tc>
        <w:tc>
          <w:tcPr>
            <w:tcW w:w="1075" w:type="dxa"/>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538</w:t>
            </w:r>
          </w:p>
        </w:tc>
        <w:tc>
          <w:tcPr>
            <w:tcW w:w="900" w:type="dxa"/>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1349" w:type="dxa"/>
            <w:vAlign w:val="center"/>
          </w:tcPr>
          <w:p>
            <w:pPr>
              <w:spacing w:line="240" w:lineRule="atLeast"/>
              <w:jc w:val="center"/>
              <w:rPr>
                <w:rFonts w:hint="eastAsia" w:ascii="宋体" w:hAnsi="宋体" w:eastAsia="宋体" w:cs="宋体"/>
                <w:sz w:val="24"/>
                <w:szCs w:val="24"/>
                <w:lang w:eastAsia="zh-CN"/>
              </w:rPr>
            </w:pPr>
            <w:r>
              <w:rPr>
                <w:rFonts w:ascii="宋体" w:hAnsi="宋体" w:eastAsia="宋体"/>
                <w:sz w:val="24"/>
                <w:szCs w:val="24"/>
              </w:rPr>
              <w:t>201</w:t>
            </w:r>
            <w:r>
              <w:rPr>
                <w:rFonts w:hint="eastAsia" w:ascii="宋体" w:hAnsi="宋体" w:eastAsia="宋体"/>
                <w:sz w:val="24"/>
                <w:szCs w:val="24"/>
                <w:lang w:val="en-US" w:eastAsia="zh-CN"/>
              </w:rPr>
              <w:t>8</w:t>
            </w:r>
            <w:r>
              <w:rPr>
                <w:rFonts w:ascii="宋体" w:hAnsi="宋体" w:eastAsia="宋体"/>
                <w:sz w:val="24"/>
                <w:szCs w:val="24"/>
              </w:rPr>
              <w:t>～201</w:t>
            </w:r>
            <w:r>
              <w:rPr>
                <w:rFonts w:hint="eastAsia" w:ascii="宋体" w:hAnsi="宋体" w:eastAsia="宋体"/>
                <w:sz w:val="24"/>
                <w:szCs w:val="24"/>
                <w:lang w:val="en-US" w:eastAsia="zh-CN"/>
              </w:rPr>
              <w:t>9</w:t>
            </w:r>
          </w:p>
        </w:tc>
        <w:tc>
          <w:tcPr>
            <w:tcW w:w="723" w:type="dxa"/>
            <w:vAlign w:val="center"/>
          </w:tcPr>
          <w:p>
            <w:pPr>
              <w:adjustRightInd w:val="0"/>
              <w:snapToGrid w:val="0"/>
              <w:spacing w:line="220" w:lineRule="atLeast"/>
              <w:rPr>
                <w:rFonts w:hint="default" w:ascii="宋体" w:hAnsi="宋体" w:eastAsia="宋体"/>
                <w:sz w:val="24"/>
                <w:szCs w:val="24"/>
                <w:lang w:val="en-US" w:eastAsia="zh-CN"/>
              </w:rPr>
            </w:pPr>
            <w:r>
              <w:rPr>
                <w:rFonts w:hint="eastAsia" w:ascii="宋体" w:hAnsi="宋体" w:eastAsia="宋体"/>
                <w:sz w:val="24"/>
                <w:szCs w:val="24"/>
                <w:lang w:val="en-US" w:eastAsia="zh-CN"/>
              </w:rPr>
              <w:t>1272</w:t>
            </w:r>
          </w:p>
        </w:tc>
        <w:tc>
          <w:tcPr>
            <w:tcW w:w="753" w:type="dxa"/>
            <w:vAlign w:val="center"/>
          </w:tcPr>
          <w:p>
            <w:pPr>
              <w:adjustRightInd w:val="0"/>
              <w:snapToGrid w:val="0"/>
              <w:spacing w:line="220" w:lineRule="atLeast"/>
              <w:rPr>
                <w:rFonts w:hint="default" w:ascii="宋体" w:hAnsi="宋体" w:eastAsia="宋体"/>
                <w:sz w:val="24"/>
                <w:szCs w:val="24"/>
                <w:lang w:val="en-US" w:eastAsia="zh-CN"/>
              </w:rPr>
            </w:pPr>
            <w:r>
              <w:rPr>
                <w:rFonts w:hint="eastAsia" w:ascii="宋体" w:hAnsi="宋体" w:eastAsia="宋体"/>
                <w:sz w:val="24"/>
                <w:szCs w:val="24"/>
                <w:lang w:val="en-US" w:eastAsia="zh-CN"/>
              </w:rPr>
              <w:t>1272</w:t>
            </w:r>
          </w:p>
        </w:tc>
        <w:tc>
          <w:tcPr>
            <w:tcW w:w="709"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1272</w:t>
            </w:r>
          </w:p>
        </w:tc>
        <w:tc>
          <w:tcPr>
            <w:tcW w:w="901" w:type="dxa"/>
            <w:vAlign w:val="center"/>
          </w:tcPr>
          <w:p>
            <w:pPr>
              <w:adjustRightInd w:val="0"/>
              <w:snapToGrid w:val="0"/>
              <w:spacing w:line="220" w:lineRule="atLeast"/>
              <w:rPr>
                <w:rFonts w:hint="default" w:ascii="宋体" w:hAnsi="宋体" w:eastAsia="宋体"/>
                <w:sz w:val="24"/>
                <w:szCs w:val="24"/>
                <w:lang w:val="en-US" w:eastAsia="zh-CN"/>
              </w:rPr>
            </w:pPr>
            <w:r>
              <w:rPr>
                <w:rFonts w:hint="eastAsia" w:ascii="宋体" w:hAnsi="宋体" w:eastAsia="宋体"/>
                <w:sz w:val="24"/>
                <w:szCs w:val="24"/>
                <w:lang w:val="en-US" w:eastAsia="zh-CN"/>
              </w:rPr>
              <w:t>1263</w:t>
            </w:r>
          </w:p>
        </w:tc>
        <w:tc>
          <w:tcPr>
            <w:tcW w:w="819" w:type="dxa"/>
            <w:vAlign w:val="center"/>
          </w:tcPr>
          <w:p>
            <w:pPr>
              <w:adjustRightInd w:val="0"/>
              <w:snapToGrid w:val="0"/>
              <w:spacing w:line="220" w:lineRule="atLeast"/>
              <w:rPr>
                <w:rFonts w:hint="default" w:ascii="宋体" w:hAnsi="宋体" w:eastAsia="宋体"/>
                <w:sz w:val="24"/>
                <w:szCs w:val="24"/>
                <w:lang w:val="en-US" w:eastAsia="zh-CN"/>
              </w:rPr>
            </w:pPr>
            <w:r>
              <w:rPr>
                <w:rFonts w:hint="eastAsia" w:ascii="宋体" w:hAnsi="宋体" w:eastAsia="宋体"/>
                <w:sz w:val="24"/>
                <w:szCs w:val="24"/>
                <w:lang w:val="en-US" w:eastAsia="zh-CN"/>
              </w:rPr>
              <w:t>1272</w:t>
            </w:r>
          </w:p>
        </w:tc>
        <w:tc>
          <w:tcPr>
            <w:tcW w:w="804"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1211</w:t>
            </w:r>
          </w:p>
        </w:tc>
        <w:tc>
          <w:tcPr>
            <w:tcW w:w="720"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1272</w:t>
            </w:r>
          </w:p>
        </w:tc>
        <w:tc>
          <w:tcPr>
            <w:tcW w:w="901" w:type="dxa"/>
            <w:vAlign w:val="center"/>
          </w:tcPr>
          <w:p>
            <w:pPr>
              <w:adjustRightInd w:val="0"/>
              <w:snapToGrid w:val="0"/>
              <w:spacing w:line="220" w:lineRule="atLeast"/>
              <w:rPr>
                <w:rFonts w:hint="default" w:ascii="宋体" w:hAnsi="宋体" w:eastAsia="宋体"/>
                <w:sz w:val="24"/>
                <w:szCs w:val="24"/>
                <w:lang w:val="en-US" w:eastAsia="zh-CN"/>
              </w:rPr>
            </w:pPr>
            <w:r>
              <w:rPr>
                <w:rFonts w:hint="eastAsia" w:ascii="宋体" w:hAnsi="宋体" w:eastAsia="宋体"/>
                <w:sz w:val="24"/>
                <w:szCs w:val="24"/>
                <w:lang w:val="en-US" w:eastAsia="zh-CN"/>
              </w:rPr>
              <w:t>1265</w:t>
            </w:r>
          </w:p>
        </w:tc>
        <w:tc>
          <w:tcPr>
            <w:tcW w:w="1075"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330</w:t>
            </w:r>
          </w:p>
        </w:tc>
        <w:tc>
          <w:tcPr>
            <w:tcW w:w="900"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330</w:t>
            </w:r>
          </w:p>
        </w:tc>
      </w:tr>
    </w:tbl>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2.2在校体验。</w:t>
      </w:r>
    </w:p>
    <w:p>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学校通过召开学生座谈会，开展学生评教、发放调查问卷等形式，对在校学生和毕业学生满意度进行调查，结果显示：理论学习满意度</w:t>
      </w:r>
      <w:r>
        <w:rPr>
          <w:rFonts w:hint="eastAsia" w:ascii="宋体" w:hAnsi="宋体" w:eastAsia="宋体" w:cs="宋体"/>
          <w:kern w:val="0"/>
          <w:sz w:val="24"/>
          <w:szCs w:val="24"/>
        </w:rPr>
        <w:t>9</w:t>
      </w:r>
      <w:r>
        <w:rPr>
          <w:rFonts w:hint="eastAsia" w:ascii="宋体" w:hAnsi="宋体" w:eastAsia="宋体" w:cs="宋体"/>
          <w:kern w:val="0"/>
          <w:sz w:val="24"/>
          <w:szCs w:val="24"/>
          <w:lang w:val="en-US" w:eastAsia="zh-CN"/>
        </w:rPr>
        <w:t>4</w:t>
      </w:r>
      <w:r>
        <w:rPr>
          <w:rFonts w:ascii="宋体" w:hAnsi="宋体" w:eastAsia="宋体" w:cs="宋体"/>
          <w:kern w:val="0"/>
          <w:sz w:val="24"/>
          <w:szCs w:val="24"/>
        </w:rPr>
        <w:t>%，专业学习满意度</w:t>
      </w:r>
      <w:r>
        <w:rPr>
          <w:rFonts w:hint="eastAsia" w:ascii="宋体" w:hAnsi="宋体" w:eastAsia="宋体" w:cs="宋体"/>
          <w:kern w:val="0"/>
          <w:sz w:val="24"/>
          <w:szCs w:val="24"/>
        </w:rPr>
        <w:t>9</w:t>
      </w:r>
      <w:r>
        <w:rPr>
          <w:rFonts w:hint="eastAsia" w:ascii="宋体" w:hAnsi="宋体" w:eastAsia="宋体" w:cs="宋体"/>
          <w:kern w:val="0"/>
          <w:sz w:val="24"/>
          <w:szCs w:val="24"/>
          <w:lang w:val="en-US" w:eastAsia="zh-CN"/>
        </w:rPr>
        <w:t>6</w:t>
      </w:r>
      <w:r>
        <w:rPr>
          <w:rFonts w:ascii="宋体" w:hAnsi="宋体" w:eastAsia="宋体" w:cs="宋体"/>
          <w:kern w:val="0"/>
          <w:sz w:val="24"/>
          <w:szCs w:val="24"/>
        </w:rPr>
        <w:t>%，实习实训满意度</w:t>
      </w:r>
      <w:r>
        <w:rPr>
          <w:rFonts w:hint="eastAsia" w:ascii="宋体" w:hAnsi="宋体" w:eastAsia="宋体" w:cs="宋体"/>
          <w:kern w:val="0"/>
          <w:sz w:val="24"/>
          <w:szCs w:val="24"/>
        </w:rPr>
        <w:t>9</w:t>
      </w:r>
      <w:r>
        <w:rPr>
          <w:rFonts w:hint="eastAsia" w:ascii="宋体" w:hAnsi="宋体" w:eastAsia="宋体" w:cs="宋体"/>
          <w:kern w:val="0"/>
          <w:sz w:val="24"/>
          <w:szCs w:val="24"/>
          <w:lang w:val="en-US" w:eastAsia="zh-CN"/>
        </w:rPr>
        <w:t>0</w:t>
      </w:r>
      <w:r>
        <w:rPr>
          <w:rFonts w:ascii="宋体" w:hAnsi="宋体" w:eastAsia="宋体" w:cs="宋体"/>
          <w:kern w:val="0"/>
          <w:sz w:val="24"/>
          <w:szCs w:val="24"/>
        </w:rPr>
        <w:t>%，校园文化与社团满意度9</w:t>
      </w:r>
      <w:r>
        <w:rPr>
          <w:rFonts w:hint="eastAsia" w:ascii="宋体" w:hAnsi="宋体" w:eastAsia="宋体" w:cs="宋体"/>
          <w:kern w:val="0"/>
          <w:sz w:val="24"/>
          <w:szCs w:val="24"/>
          <w:lang w:val="en-US" w:eastAsia="zh-CN"/>
        </w:rPr>
        <w:t>2</w:t>
      </w:r>
      <w:r>
        <w:rPr>
          <w:rFonts w:ascii="宋体" w:hAnsi="宋体" w:eastAsia="宋体" w:cs="宋体"/>
          <w:kern w:val="0"/>
          <w:sz w:val="24"/>
          <w:szCs w:val="24"/>
        </w:rPr>
        <w:t>%，生活满意度</w:t>
      </w:r>
      <w:r>
        <w:rPr>
          <w:rFonts w:hint="eastAsia" w:ascii="宋体" w:hAnsi="宋体" w:eastAsia="宋体" w:cs="宋体"/>
          <w:kern w:val="0"/>
          <w:sz w:val="24"/>
          <w:szCs w:val="24"/>
        </w:rPr>
        <w:t>8</w:t>
      </w:r>
      <w:r>
        <w:rPr>
          <w:rFonts w:hint="eastAsia" w:ascii="宋体" w:hAnsi="宋体" w:eastAsia="宋体" w:cs="宋体"/>
          <w:kern w:val="0"/>
          <w:sz w:val="24"/>
          <w:szCs w:val="24"/>
          <w:lang w:val="en-US" w:eastAsia="zh-CN"/>
        </w:rPr>
        <w:t>7</w:t>
      </w:r>
      <w:r>
        <w:rPr>
          <w:rFonts w:ascii="宋体" w:hAnsi="宋体" w:eastAsia="宋体" w:cs="宋体"/>
          <w:kern w:val="0"/>
          <w:sz w:val="24"/>
          <w:szCs w:val="24"/>
        </w:rPr>
        <w:t>%，校园安全满意度9</w:t>
      </w:r>
      <w:r>
        <w:rPr>
          <w:rFonts w:hint="eastAsia" w:ascii="宋体" w:hAnsi="宋体" w:eastAsia="宋体" w:cs="宋体"/>
          <w:kern w:val="0"/>
          <w:sz w:val="24"/>
          <w:szCs w:val="24"/>
          <w:lang w:val="en-US" w:eastAsia="zh-CN"/>
        </w:rPr>
        <w:t>8</w:t>
      </w:r>
      <w:r>
        <w:rPr>
          <w:rFonts w:ascii="宋体" w:hAnsi="宋体" w:eastAsia="宋体" w:cs="宋体"/>
          <w:kern w:val="0"/>
          <w:sz w:val="24"/>
          <w:szCs w:val="24"/>
        </w:rPr>
        <w:t>%，毕业生对学习满意度</w:t>
      </w:r>
      <w:r>
        <w:rPr>
          <w:rFonts w:hint="eastAsia" w:ascii="宋体" w:hAnsi="宋体" w:eastAsia="宋体" w:cs="宋体"/>
          <w:kern w:val="0"/>
          <w:sz w:val="24"/>
          <w:szCs w:val="24"/>
        </w:rPr>
        <w:t>9</w:t>
      </w:r>
      <w:r>
        <w:rPr>
          <w:rFonts w:hint="eastAsia" w:ascii="宋体" w:hAnsi="宋体" w:eastAsia="宋体" w:cs="宋体"/>
          <w:kern w:val="0"/>
          <w:sz w:val="24"/>
          <w:szCs w:val="24"/>
          <w:lang w:val="en-US" w:eastAsia="zh-CN"/>
        </w:rPr>
        <w:t>2</w:t>
      </w:r>
      <w:r>
        <w:rPr>
          <w:rFonts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kern w:val="0"/>
          <w:sz w:val="24"/>
          <w:szCs w:val="24"/>
        </w:rPr>
        <w:t>表2-2 近两学年中等职业学校学生在校体验情况一览表</w:t>
      </w:r>
    </w:p>
    <w:tbl>
      <w:tblPr>
        <w:tblStyle w:val="5"/>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963"/>
        <w:gridCol w:w="1071"/>
        <w:gridCol w:w="9"/>
        <w:gridCol w:w="1080"/>
        <w:gridCol w:w="9"/>
        <w:gridCol w:w="1008"/>
        <w:gridCol w:w="1152"/>
        <w:gridCol w:w="900"/>
        <w:gridCol w:w="1080"/>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exact"/>
          <w:jc w:val="center"/>
        </w:trPr>
        <w:tc>
          <w:tcPr>
            <w:tcW w:w="1841" w:type="dxa"/>
            <w:gridSpan w:val="2"/>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学年度</w:t>
            </w:r>
          </w:p>
        </w:tc>
        <w:tc>
          <w:tcPr>
            <w:tcW w:w="1071"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理论学习满意度</w:t>
            </w:r>
          </w:p>
        </w:tc>
        <w:tc>
          <w:tcPr>
            <w:tcW w:w="1089" w:type="dxa"/>
            <w:gridSpan w:val="2"/>
            <w:vAlign w:val="center"/>
          </w:tcPr>
          <w:p>
            <w:pPr>
              <w:adjustRightInd w:val="0"/>
              <w:snapToGrid w:val="0"/>
              <w:spacing w:line="240" w:lineRule="exact"/>
              <w:jc w:val="center"/>
              <w:rPr>
                <w:rFonts w:ascii="宋体" w:hAnsi="宋体" w:eastAsia="宋体"/>
                <w:bCs/>
                <w:sz w:val="24"/>
                <w:szCs w:val="24"/>
              </w:rPr>
            </w:pPr>
            <w:r>
              <w:rPr>
                <w:rFonts w:hint="eastAsia" w:ascii="宋体" w:hAnsi="宋体" w:eastAsia="宋体"/>
                <w:bCs/>
                <w:sz w:val="24"/>
                <w:szCs w:val="24"/>
              </w:rPr>
              <w:t>专业学习满意度</w:t>
            </w:r>
          </w:p>
        </w:tc>
        <w:tc>
          <w:tcPr>
            <w:tcW w:w="1017" w:type="dxa"/>
            <w:gridSpan w:val="2"/>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实习实训满意度</w:t>
            </w:r>
          </w:p>
        </w:tc>
        <w:tc>
          <w:tcPr>
            <w:tcW w:w="1152"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校园文化与社团满意度</w:t>
            </w:r>
          </w:p>
        </w:tc>
        <w:tc>
          <w:tcPr>
            <w:tcW w:w="900"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生活满意度</w:t>
            </w:r>
          </w:p>
        </w:tc>
        <w:tc>
          <w:tcPr>
            <w:tcW w:w="1080" w:type="dxa"/>
            <w:vAlign w:val="center"/>
          </w:tcPr>
          <w:p>
            <w:pPr>
              <w:adjustRightInd w:val="0"/>
              <w:snapToGrid w:val="0"/>
              <w:spacing w:line="240" w:lineRule="exact"/>
              <w:jc w:val="center"/>
              <w:rPr>
                <w:rFonts w:ascii="宋体" w:hAnsi="宋体" w:eastAsia="宋体"/>
                <w:bCs/>
                <w:sz w:val="24"/>
                <w:szCs w:val="24"/>
              </w:rPr>
            </w:pPr>
            <w:r>
              <w:rPr>
                <w:rFonts w:hint="eastAsia" w:ascii="宋体" w:hAnsi="宋体" w:eastAsia="宋体"/>
                <w:bCs/>
                <w:sz w:val="24"/>
                <w:szCs w:val="24"/>
              </w:rPr>
              <w:t>校园安全满意度</w:t>
            </w:r>
          </w:p>
        </w:tc>
        <w:tc>
          <w:tcPr>
            <w:tcW w:w="1121"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毕业生对学习满意度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8" w:type="dxa"/>
            <w:vMerge w:val="restart"/>
            <w:vAlign w:val="center"/>
          </w:tcPr>
          <w:p>
            <w:pPr>
              <w:spacing w:line="240" w:lineRule="atLeast"/>
              <w:jc w:val="center"/>
              <w:rPr>
                <w:rFonts w:hint="eastAsia" w:ascii="宋体" w:hAnsi="宋体" w:eastAsia="宋体" w:cs="宋体"/>
                <w:sz w:val="24"/>
                <w:szCs w:val="24"/>
                <w:lang w:eastAsia="zh-CN"/>
              </w:rPr>
            </w:pPr>
            <w:r>
              <w:rPr>
                <w:rFonts w:ascii="宋体" w:hAnsi="宋体" w:eastAsia="宋体"/>
                <w:sz w:val="24"/>
                <w:szCs w:val="24"/>
              </w:rPr>
              <w:t>201</w:t>
            </w:r>
            <w:r>
              <w:rPr>
                <w:rFonts w:hint="eastAsia" w:ascii="宋体" w:hAnsi="宋体" w:eastAsia="宋体"/>
                <w:sz w:val="24"/>
                <w:szCs w:val="24"/>
                <w:lang w:val="en-US" w:eastAsia="zh-CN"/>
              </w:rPr>
              <w:t>7</w:t>
            </w:r>
            <w:r>
              <w:rPr>
                <w:rFonts w:ascii="宋体" w:hAnsi="宋体" w:eastAsia="宋体"/>
                <w:sz w:val="24"/>
                <w:szCs w:val="24"/>
              </w:rPr>
              <w:t>～201</w:t>
            </w:r>
            <w:r>
              <w:rPr>
                <w:rFonts w:hint="eastAsia" w:ascii="宋体" w:hAnsi="宋体" w:eastAsia="宋体"/>
                <w:sz w:val="24"/>
                <w:szCs w:val="24"/>
                <w:lang w:val="en-US" w:eastAsia="zh-CN"/>
              </w:rPr>
              <w:t>8</w:t>
            </w:r>
          </w:p>
        </w:tc>
        <w:tc>
          <w:tcPr>
            <w:tcW w:w="963" w:type="dxa"/>
            <w:tcBorders>
              <w:bottom w:val="single" w:color="auto" w:sz="4" w:space="0"/>
            </w:tcBorders>
            <w:vAlign w:val="center"/>
          </w:tcPr>
          <w:p>
            <w:pPr>
              <w:adjustRightInd w:val="0"/>
              <w:snapToGrid w:val="0"/>
              <w:spacing w:line="220" w:lineRule="atLeast"/>
              <w:jc w:val="center"/>
              <w:rPr>
                <w:rFonts w:ascii="宋体" w:hAnsi="宋体" w:eastAsia="宋体"/>
                <w:sz w:val="24"/>
                <w:szCs w:val="24"/>
              </w:rPr>
            </w:pPr>
            <w:r>
              <w:rPr>
                <w:rFonts w:hint="eastAsia" w:ascii="宋体" w:hAnsi="宋体" w:eastAsia="宋体"/>
                <w:bCs/>
                <w:sz w:val="24"/>
                <w:szCs w:val="24"/>
              </w:rPr>
              <w:t>人数</w:t>
            </w:r>
          </w:p>
        </w:tc>
        <w:tc>
          <w:tcPr>
            <w:tcW w:w="1080" w:type="dxa"/>
            <w:gridSpan w:val="2"/>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1105</w:t>
            </w:r>
          </w:p>
        </w:tc>
        <w:tc>
          <w:tcPr>
            <w:tcW w:w="1089" w:type="dxa"/>
            <w:gridSpan w:val="2"/>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1126</w:t>
            </w:r>
          </w:p>
        </w:tc>
        <w:tc>
          <w:tcPr>
            <w:tcW w:w="1008" w:type="dxa"/>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1081</w:t>
            </w:r>
          </w:p>
        </w:tc>
        <w:tc>
          <w:tcPr>
            <w:tcW w:w="1152" w:type="dxa"/>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1095</w:t>
            </w:r>
          </w:p>
        </w:tc>
        <w:tc>
          <w:tcPr>
            <w:tcW w:w="900" w:type="dxa"/>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986</w:t>
            </w:r>
          </w:p>
        </w:tc>
        <w:tc>
          <w:tcPr>
            <w:tcW w:w="1080" w:type="dxa"/>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1148</w:t>
            </w:r>
          </w:p>
        </w:tc>
        <w:tc>
          <w:tcPr>
            <w:tcW w:w="1121" w:type="dxa"/>
            <w:vAlign w:val="center"/>
          </w:tcPr>
          <w:p>
            <w:pPr>
              <w:adjustRightInd w:val="0"/>
              <w:snapToGrid w:val="0"/>
              <w:spacing w:line="220" w:lineRule="atLeast"/>
              <w:jc w:val="center"/>
              <w:rPr>
                <w:rFonts w:hint="default" w:ascii="宋体" w:hAnsi="宋体" w:eastAsia="宋体" w:cstheme="minorBidi"/>
                <w:kern w:val="2"/>
                <w:sz w:val="24"/>
                <w:szCs w:val="24"/>
                <w:lang w:val="en-US" w:eastAsia="zh-CN" w:bidi="ar-SA"/>
              </w:rPr>
            </w:pPr>
            <w:r>
              <w:rPr>
                <w:rFonts w:hint="eastAsia" w:ascii="宋体" w:hAnsi="宋体" w:eastAsia="宋体"/>
                <w:sz w:val="24"/>
                <w:szCs w:val="24"/>
                <w:lang w:val="en-US" w:eastAsia="zh-CN"/>
              </w:rPr>
              <w:t>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878" w:type="dxa"/>
            <w:vMerge w:val="continue"/>
            <w:tcBorders>
              <w:bottom w:val="single" w:color="auto" w:sz="4" w:space="0"/>
            </w:tcBorders>
            <w:vAlign w:val="center"/>
          </w:tcPr>
          <w:p>
            <w:pPr>
              <w:spacing w:line="240" w:lineRule="atLeast"/>
              <w:jc w:val="center"/>
              <w:rPr>
                <w:rFonts w:ascii="宋体" w:hAnsi="宋体" w:eastAsia="宋体"/>
                <w:sz w:val="24"/>
                <w:szCs w:val="24"/>
              </w:rPr>
            </w:pPr>
          </w:p>
        </w:tc>
        <w:tc>
          <w:tcPr>
            <w:tcW w:w="963" w:type="dxa"/>
            <w:tcBorders>
              <w:bottom w:val="single" w:color="auto" w:sz="4" w:space="0"/>
            </w:tcBorders>
            <w:vAlign w:val="center"/>
          </w:tcPr>
          <w:p>
            <w:pPr>
              <w:adjustRightInd w:val="0"/>
              <w:snapToGrid w:val="0"/>
              <w:spacing w:line="220" w:lineRule="atLeast"/>
              <w:jc w:val="center"/>
              <w:rPr>
                <w:rFonts w:ascii="宋体" w:hAnsi="宋体" w:eastAsia="宋体"/>
                <w:sz w:val="24"/>
                <w:szCs w:val="24"/>
              </w:rPr>
            </w:pPr>
            <w:r>
              <w:rPr>
                <w:rFonts w:hint="eastAsia" w:ascii="宋体" w:hAnsi="宋体" w:eastAsia="宋体"/>
                <w:bCs/>
                <w:sz w:val="24"/>
                <w:szCs w:val="24"/>
              </w:rPr>
              <w:t>比例（%）</w:t>
            </w:r>
          </w:p>
        </w:tc>
        <w:tc>
          <w:tcPr>
            <w:tcW w:w="1080" w:type="dxa"/>
            <w:gridSpan w:val="2"/>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93</w:t>
            </w:r>
          </w:p>
        </w:tc>
        <w:tc>
          <w:tcPr>
            <w:tcW w:w="1089" w:type="dxa"/>
            <w:gridSpan w:val="2"/>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95</w:t>
            </w:r>
          </w:p>
        </w:tc>
        <w:tc>
          <w:tcPr>
            <w:tcW w:w="1008" w:type="dxa"/>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91</w:t>
            </w:r>
          </w:p>
        </w:tc>
        <w:tc>
          <w:tcPr>
            <w:tcW w:w="1152" w:type="dxa"/>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93</w:t>
            </w:r>
          </w:p>
        </w:tc>
        <w:tc>
          <w:tcPr>
            <w:tcW w:w="900" w:type="dxa"/>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83</w:t>
            </w:r>
          </w:p>
        </w:tc>
        <w:tc>
          <w:tcPr>
            <w:tcW w:w="1080" w:type="dxa"/>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97</w:t>
            </w:r>
          </w:p>
        </w:tc>
        <w:tc>
          <w:tcPr>
            <w:tcW w:w="1121" w:type="dxa"/>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8" w:type="dxa"/>
            <w:vMerge w:val="restart"/>
            <w:vAlign w:val="center"/>
          </w:tcPr>
          <w:p>
            <w:pPr>
              <w:spacing w:line="240" w:lineRule="atLeast"/>
              <w:jc w:val="center"/>
              <w:rPr>
                <w:rFonts w:hint="eastAsia" w:ascii="宋体" w:hAnsi="宋体" w:eastAsia="宋体" w:cs="宋体"/>
                <w:sz w:val="24"/>
                <w:szCs w:val="24"/>
                <w:lang w:eastAsia="zh-CN"/>
              </w:rPr>
            </w:pPr>
            <w:r>
              <w:rPr>
                <w:rFonts w:ascii="宋体" w:hAnsi="宋体" w:eastAsia="宋体"/>
                <w:sz w:val="24"/>
                <w:szCs w:val="24"/>
              </w:rPr>
              <w:t>201</w:t>
            </w:r>
            <w:r>
              <w:rPr>
                <w:rFonts w:hint="eastAsia" w:ascii="宋体" w:hAnsi="宋体" w:eastAsia="宋体"/>
                <w:sz w:val="24"/>
                <w:szCs w:val="24"/>
                <w:lang w:val="en-US" w:eastAsia="zh-CN"/>
              </w:rPr>
              <w:t>8</w:t>
            </w:r>
            <w:r>
              <w:rPr>
                <w:rFonts w:ascii="宋体" w:hAnsi="宋体" w:eastAsia="宋体"/>
                <w:sz w:val="24"/>
                <w:szCs w:val="24"/>
              </w:rPr>
              <w:t>～201</w:t>
            </w:r>
            <w:r>
              <w:rPr>
                <w:rFonts w:hint="eastAsia" w:ascii="宋体" w:hAnsi="宋体" w:eastAsia="宋体"/>
                <w:sz w:val="24"/>
                <w:szCs w:val="24"/>
                <w:lang w:val="en-US" w:eastAsia="zh-CN"/>
              </w:rPr>
              <w:t>9</w:t>
            </w:r>
          </w:p>
        </w:tc>
        <w:tc>
          <w:tcPr>
            <w:tcW w:w="963" w:type="dxa"/>
            <w:vAlign w:val="center"/>
          </w:tcPr>
          <w:p>
            <w:pPr>
              <w:adjustRightInd w:val="0"/>
              <w:snapToGrid w:val="0"/>
              <w:spacing w:line="220" w:lineRule="atLeast"/>
              <w:jc w:val="center"/>
              <w:rPr>
                <w:rFonts w:ascii="宋体" w:hAnsi="宋体" w:eastAsia="宋体"/>
                <w:sz w:val="24"/>
                <w:szCs w:val="24"/>
              </w:rPr>
            </w:pPr>
            <w:r>
              <w:rPr>
                <w:rFonts w:hint="eastAsia" w:ascii="宋体" w:hAnsi="宋体" w:eastAsia="宋体"/>
                <w:bCs/>
                <w:sz w:val="24"/>
                <w:szCs w:val="24"/>
              </w:rPr>
              <w:t>人数</w:t>
            </w:r>
          </w:p>
        </w:tc>
        <w:tc>
          <w:tcPr>
            <w:tcW w:w="1080" w:type="dxa"/>
            <w:gridSpan w:val="2"/>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1195</w:t>
            </w:r>
          </w:p>
        </w:tc>
        <w:tc>
          <w:tcPr>
            <w:tcW w:w="1089" w:type="dxa"/>
            <w:gridSpan w:val="2"/>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1221</w:t>
            </w:r>
          </w:p>
        </w:tc>
        <w:tc>
          <w:tcPr>
            <w:tcW w:w="1008"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1144</w:t>
            </w:r>
          </w:p>
        </w:tc>
        <w:tc>
          <w:tcPr>
            <w:tcW w:w="1152"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1170</w:t>
            </w:r>
          </w:p>
        </w:tc>
        <w:tc>
          <w:tcPr>
            <w:tcW w:w="900"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1106</w:t>
            </w:r>
          </w:p>
        </w:tc>
        <w:tc>
          <w:tcPr>
            <w:tcW w:w="1080"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1246</w:t>
            </w:r>
          </w:p>
        </w:tc>
        <w:tc>
          <w:tcPr>
            <w:tcW w:w="1121"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878" w:type="dxa"/>
            <w:vMerge w:val="continue"/>
            <w:vAlign w:val="center"/>
          </w:tcPr>
          <w:p>
            <w:pPr>
              <w:spacing w:line="240" w:lineRule="atLeast"/>
              <w:jc w:val="center"/>
              <w:rPr>
                <w:rFonts w:ascii="宋体" w:hAnsi="宋体" w:eastAsia="宋体"/>
                <w:sz w:val="24"/>
                <w:szCs w:val="24"/>
              </w:rPr>
            </w:pPr>
          </w:p>
        </w:tc>
        <w:tc>
          <w:tcPr>
            <w:tcW w:w="963" w:type="dxa"/>
            <w:vAlign w:val="center"/>
          </w:tcPr>
          <w:p>
            <w:pPr>
              <w:adjustRightInd w:val="0"/>
              <w:snapToGrid w:val="0"/>
              <w:spacing w:line="220" w:lineRule="atLeast"/>
              <w:jc w:val="center"/>
              <w:rPr>
                <w:rFonts w:ascii="宋体" w:hAnsi="宋体" w:eastAsia="宋体"/>
                <w:sz w:val="24"/>
                <w:szCs w:val="24"/>
              </w:rPr>
            </w:pPr>
            <w:r>
              <w:rPr>
                <w:rFonts w:hint="eastAsia" w:ascii="宋体" w:hAnsi="宋体" w:eastAsia="宋体"/>
                <w:bCs/>
                <w:sz w:val="24"/>
                <w:szCs w:val="24"/>
              </w:rPr>
              <w:t>比例（%）</w:t>
            </w:r>
          </w:p>
        </w:tc>
        <w:tc>
          <w:tcPr>
            <w:tcW w:w="1080" w:type="dxa"/>
            <w:gridSpan w:val="2"/>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94</w:t>
            </w:r>
          </w:p>
        </w:tc>
        <w:tc>
          <w:tcPr>
            <w:tcW w:w="1089" w:type="dxa"/>
            <w:gridSpan w:val="2"/>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96</w:t>
            </w:r>
          </w:p>
        </w:tc>
        <w:tc>
          <w:tcPr>
            <w:tcW w:w="1008"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90</w:t>
            </w:r>
          </w:p>
        </w:tc>
        <w:tc>
          <w:tcPr>
            <w:tcW w:w="1152"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92</w:t>
            </w:r>
          </w:p>
        </w:tc>
        <w:tc>
          <w:tcPr>
            <w:tcW w:w="900"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87</w:t>
            </w:r>
          </w:p>
        </w:tc>
        <w:tc>
          <w:tcPr>
            <w:tcW w:w="1080"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98</w:t>
            </w:r>
          </w:p>
        </w:tc>
        <w:tc>
          <w:tcPr>
            <w:tcW w:w="1121"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92</w:t>
            </w:r>
          </w:p>
        </w:tc>
      </w:tr>
    </w:tbl>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2.3资助情况。</w:t>
      </w:r>
      <w:r>
        <w:rPr>
          <w:rFonts w:ascii="宋体" w:hAnsi="宋体" w:eastAsia="宋体" w:cs="宋体"/>
          <w:kern w:val="0"/>
          <w:sz w:val="24"/>
          <w:szCs w:val="24"/>
        </w:rPr>
        <w:br w:type="textWrapping"/>
      </w:r>
      <w:r>
        <w:rPr>
          <w:rFonts w:ascii="宋体" w:hAnsi="宋体" w:eastAsia="宋体" w:cs="宋体"/>
          <w:kern w:val="0"/>
          <w:sz w:val="24"/>
          <w:szCs w:val="24"/>
        </w:rPr>
        <w:t xml:space="preserve">   201</w:t>
      </w:r>
      <w:r>
        <w:rPr>
          <w:rFonts w:hint="eastAsia" w:ascii="宋体" w:hAnsi="宋体" w:eastAsia="宋体" w:cs="宋体"/>
          <w:kern w:val="0"/>
          <w:sz w:val="24"/>
          <w:szCs w:val="24"/>
          <w:lang w:val="en-US" w:eastAsia="zh-CN"/>
        </w:rPr>
        <w:t>9</w:t>
      </w:r>
      <w:r>
        <w:rPr>
          <w:rFonts w:ascii="宋体" w:hAnsi="宋体" w:eastAsia="宋体" w:cs="宋体"/>
          <w:kern w:val="0"/>
          <w:sz w:val="24"/>
          <w:szCs w:val="24"/>
        </w:rPr>
        <w:t>年，我校共有</w:t>
      </w:r>
      <w:r>
        <w:rPr>
          <w:rFonts w:hint="eastAsia" w:ascii="宋体" w:hAnsi="宋体" w:eastAsia="宋体" w:cs="宋体"/>
          <w:kern w:val="0"/>
          <w:sz w:val="24"/>
          <w:szCs w:val="24"/>
          <w:lang w:val="en-US" w:eastAsia="zh-CN"/>
        </w:rPr>
        <w:t>396</w:t>
      </w:r>
      <w:r>
        <w:rPr>
          <w:rFonts w:ascii="宋体" w:hAnsi="宋体" w:eastAsia="宋体" w:cs="宋体"/>
          <w:kern w:val="0"/>
          <w:sz w:val="24"/>
          <w:szCs w:val="24"/>
        </w:rPr>
        <w:t>人次享受国家助学金，发放助学金金额为</w:t>
      </w:r>
      <w:r>
        <w:rPr>
          <w:rFonts w:hint="eastAsia" w:ascii="宋体" w:hAnsi="宋体" w:eastAsia="宋体" w:cs="宋体"/>
          <w:kern w:val="0"/>
          <w:sz w:val="24"/>
          <w:szCs w:val="24"/>
          <w:lang w:val="en-US" w:eastAsia="zh-CN"/>
        </w:rPr>
        <w:t>39.85万</w:t>
      </w:r>
      <w:r>
        <w:rPr>
          <w:rFonts w:ascii="宋体" w:hAnsi="宋体" w:eastAsia="宋体" w:cs="宋体"/>
          <w:kern w:val="0"/>
          <w:sz w:val="24"/>
          <w:szCs w:val="24"/>
        </w:rPr>
        <w:t>元。共有</w:t>
      </w:r>
      <w:r>
        <w:rPr>
          <w:rFonts w:hint="eastAsia" w:ascii="宋体" w:hAnsi="宋体" w:eastAsia="宋体" w:cs="宋体"/>
          <w:kern w:val="0"/>
          <w:sz w:val="24"/>
          <w:szCs w:val="24"/>
          <w:lang w:val="en-US" w:eastAsia="zh-CN"/>
        </w:rPr>
        <w:t>1095</w:t>
      </w:r>
      <w:r>
        <w:rPr>
          <w:rFonts w:ascii="宋体" w:hAnsi="宋体" w:eastAsia="宋体" w:cs="宋体"/>
          <w:kern w:val="0"/>
          <w:sz w:val="24"/>
          <w:szCs w:val="24"/>
        </w:rPr>
        <w:t>人享受免学费政策。校内资助情况：201</w:t>
      </w:r>
      <w:r>
        <w:rPr>
          <w:rFonts w:hint="eastAsia" w:ascii="宋体" w:hAnsi="宋体" w:eastAsia="宋体" w:cs="宋体"/>
          <w:kern w:val="0"/>
          <w:sz w:val="24"/>
          <w:szCs w:val="24"/>
          <w:lang w:val="en-US" w:eastAsia="zh-CN"/>
        </w:rPr>
        <w:t>9</w:t>
      </w:r>
      <w:r>
        <w:rPr>
          <w:rFonts w:ascii="宋体" w:hAnsi="宋体" w:eastAsia="宋体" w:cs="宋体"/>
          <w:kern w:val="0"/>
          <w:sz w:val="24"/>
          <w:szCs w:val="24"/>
        </w:rPr>
        <w:t>年秋季，我校共有</w:t>
      </w:r>
      <w:r>
        <w:rPr>
          <w:rFonts w:hint="eastAsia" w:ascii="宋体" w:hAnsi="宋体" w:eastAsia="宋体" w:cs="宋体"/>
          <w:kern w:val="0"/>
          <w:sz w:val="24"/>
          <w:szCs w:val="24"/>
          <w:lang w:val="en-US" w:eastAsia="zh-CN"/>
        </w:rPr>
        <w:t>178人次</w:t>
      </w:r>
      <w:r>
        <w:rPr>
          <w:rFonts w:ascii="宋体" w:hAnsi="宋体" w:eastAsia="宋体" w:cs="宋体"/>
          <w:kern w:val="0"/>
          <w:sz w:val="24"/>
          <w:szCs w:val="24"/>
        </w:rPr>
        <w:t>学生享受校内资助，</w:t>
      </w:r>
      <w:r>
        <w:rPr>
          <w:rFonts w:hint="eastAsia" w:ascii="宋体" w:hAnsi="宋体" w:eastAsia="宋体" w:cs="宋体"/>
          <w:kern w:val="0"/>
          <w:sz w:val="24"/>
          <w:szCs w:val="24"/>
          <w:lang w:val="en-US" w:eastAsia="zh-CN"/>
        </w:rPr>
        <w:t>共</w:t>
      </w:r>
      <w:r>
        <w:rPr>
          <w:rFonts w:ascii="宋体" w:hAnsi="宋体" w:eastAsia="宋体" w:cs="宋体"/>
          <w:kern w:val="0"/>
          <w:sz w:val="24"/>
          <w:szCs w:val="24"/>
        </w:rPr>
        <w:t>发放助学金</w:t>
      </w:r>
      <w:r>
        <w:rPr>
          <w:rFonts w:hint="eastAsia" w:ascii="宋体" w:hAnsi="宋体" w:eastAsia="宋体"/>
          <w:sz w:val="24"/>
          <w:szCs w:val="24"/>
          <w:lang w:val="en-US" w:eastAsia="zh-CN"/>
        </w:rPr>
        <w:t>14.9</w:t>
      </w:r>
      <w:r>
        <w:rPr>
          <w:rFonts w:hint="eastAsia" w:ascii="宋体" w:hAnsi="宋体" w:eastAsia="宋体"/>
          <w:sz w:val="24"/>
          <w:szCs w:val="24"/>
        </w:rPr>
        <w:t>万</w:t>
      </w:r>
      <w:r>
        <w:rPr>
          <w:rFonts w:ascii="宋体" w:hAnsi="宋体" w:eastAsia="宋体" w:cs="宋体"/>
          <w:kern w:val="0"/>
          <w:sz w:val="24"/>
          <w:szCs w:val="24"/>
        </w:rPr>
        <w:t>元。</w:t>
      </w:r>
    </w:p>
    <w:p>
      <w:pPr>
        <w:widowControl/>
        <w:jc w:val="left"/>
        <w:rPr>
          <w:rFonts w:ascii="宋体" w:hAnsi="宋体" w:eastAsia="宋体" w:cs="宋体"/>
          <w:kern w:val="0"/>
          <w:sz w:val="24"/>
          <w:szCs w:val="24"/>
        </w:rPr>
      </w:pPr>
      <w:r>
        <w:rPr>
          <w:rFonts w:ascii="宋体" w:hAnsi="宋体" w:eastAsia="宋体" w:cs="宋体"/>
          <w:kern w:val="0"/>
          <w:sz w:val="24"/>
          <w:szCs w:val="24"/>
        </w:rPr>
        <w:t>表2-3 近两学年中等职业学校学生在校资助情况一览表</w:t>
      </w:r>
    </w:p>
    <w:tbl>
      <w:tblPr>
        <w:tblStyle w:val="5"/>
        <w:tblW w:w="8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815"/>
        <w:gridCol w:w="1138"/>
        <w:gridCol w:w="1084"/>
        <w:gridCol w:w="1080"/>
        <w:gridCol w:w="941"/>
        <w:gridCol w:w="1486"/>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53" w:type="dxa"/>
            <w:vMerge w:val="restart"/>
            <w:vAlign w:val="center"/>
          </w:tcPr>
          <w:p>
            <w:pPr>
              <w:adjustRightInd w:val="0"/>
              <w:snapToGrid w:val="0"/>
              <w:spacing w:line="240" w:lineRule="exact"/>
              <w:jc w:val="center"/>
              <w:rPr>
                <w:rFonts w:ascii="宋体" w:hAnsi="宋体" w:eastAsia="宋体"/>
                <w:bCs/>
                <w:sz w:val="24"/>
                <w:szCs w:val="24"/>
              </w:rPr>
            </w:pPr>
            <w:r>
              <w:rPr>
                <w:rFonts w:hint="eastAsia" w:ascii="宋体" w:hAnsi="宋体" w:eastAsia="宋体"/>
                <w:bCs/>
                <w:sz w:val="24"/>
                <w:szCs w:val="24"/>
              </w:rPr>
              <w:t>学年度</w:t>
            </w:r>
          </w:p>
        </w:tc>
        <w:tc>
          <w:tcPr>
            <w:tcW w:w="1953" w:type="dxa"/>
            <w:gridSpan w:val="2"/>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免学费</w:t>
            </w:r>
          </w:p>
        </w:tc>
        <w:tc>
          <w:tcPr>
            <w:tcW w:w="2164" w:type="dxa"/>
            <w:gridSpan w:val="2"/>
            <w:vAlign w:val="center"/>
          </w:tcPr>
          <w:p>
            <w:pPr>
              <w:adjustRightInd w:val="0"/>
              <w:snapToGrid w:val="0"/>
              <w:spacing w:line="240" w:lineRule="exact"/>
              <w:jc w:val="center"/>
              <w:rPr>
                <w:rFonts w:ascii="宋体" w:hAnsi="宋体" w:eastAsia="宋体"/>
                <w:bCs/>
                <w:sz w:val="24"/>
                <w:szCs w:val="24"/>
              </w:rPr>
            </w:pPr>
            <w:r>
              <w:rPr>
                <w:rFonts w:hint="eastAsia" w:ascii="宋体" w:hAnsi="宋体" w:eastAsia="宋体"/>
                <w:bCs/>
                <w:sz w:val="24"/>
                <w:szCs w:val="24"/>
              </w:rPr>
              <w:t>助学金</w:t>
            </w:r>
          </w:p>
        </w:tc>
        <w:tc>
          <w:tcPr>
            <w:tcW w:w="3281" w:type="dxa"/>
            <w:gridSpan w:val="3"/>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校内资助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353" w:type="dxa"/>
            <w:vMerge w:val="continue"/>
            <w:vAlign w:val="center"/>
          </w:tcPr>
          <w:p>
            <w:pPr>
              <w:adjustRightInd w:val="0"/>
              <w:snapToGrid w:val="0"/>
              <w:spacing w:line="240" w:lineRule="exact"/>
              <w:jc w:val="center"/>
              <w:rPr>
                <w:rFonts w:hint="eastAsia" w:ascii="宋体" w:hAnsi="宋体" w:eastAsia="宋体"/>
                <w:bCs/>
                <w:sz w:val="24"/>
                <w:szCs w:val="24"/>
              </w:rPr>
            </w:pPr>
          </w:p>
        </w:tc>
        <w:tc>
          <w:tcPr>
            <w:tcW w:w="815"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人数</w:t>
            </w:r>
          </w:p>
        </w:tc>
        <w:tc>
          <w:tcPr>
            <w:tcW w:w="1138"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比例（%）</w:t>
            </w:r>
          </w:p>
        </w:tc>
        <w:tc>
          <w:tcPr>
            <w:tcW w:w="1084"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人数</w:t>
            </w:r>
          </w:p>
        </w:tc>
        <w:tc>
          <w:tcPr>
            <w:tcW w:w="1080"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比例（</w:t>
            </w:r>
            <w:r>
              <w:rPr>
                <w:rFonts w:ascii="宋体" w:hAnsi="宋体" w:eastAsia="宋体"/>
                <w:bCs/>
                <w:sz w:val="24"/>
                <w:szCs w:val="24"/>
              </w:rPr>
              <w:t>%</w:t>
            </w:r>
            <w:r>
              <w:rPr>
                <w:rFonts w:hint="eastAsia" w:ascii="宋体" w:hAnsi="宋体" w:eastAsia="宋体"/>
                <w:bCs/>
                <w:sz w:val="24"/>
                <w:szCs w:val="24"/>
              </w:rPr>
              <w:t>）</w:t>
            </w:r>
          </w:p>
        </w:tc>
        <w:tc>
          <w:tcPr>
            <w:tcW w:w="941"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人数</w:t>
            </w:r>
          </w:p>
        </w:tc>
        <w:tc>
          <w:tcPr>
            <w:tcW w:w="1486"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资金（万元）</w:t>
            </w:r>
          </w:p>
        </w:tc>
        <w:tc>
          <w:tcPr>
            <w:tcW w:w="854"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比例（</w:t>
            </w:r>
            <w:r>
              <w:rPr>
                <w:rFonts w:ascii="宋体" w:hAnsi="宋体" w:eastAsia="宋体"/>
                <w:bCs/>
                <w:sz w:val="24"/>
                <w:szCs w:val="24"/>
              </w:rPr>
              <w:t>%</w:t>
            </w: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1353" w:type="dxa"/>
            <w:tcBorders>
              <w:bottom w:val="single" w:color="auto" w:sz="4" w:space="0"/>
            </w:tcBorders>
            <w:vAlign w:val="center"/>
          </w:tcPr>
          <w:p>
            <w:pPr>
              <w:spacing w:line="240" w:lineRule="atLeast"/>
              <w:jc w:val="center"/>
              <w:rPr>
                <w:rFonts w:hint="eastAsia" w:ascii="宋体" w:hAnsi="宋体" w:eastAsia="宋体" w:cs="宋体"/>
                <w:kern w:val="2"/>
                <w:sz w:val="24"/>
                <w:szCs w:val="24"/>
                <w:lang w:val="en-US" w:eastAsia="zh-CN" w:bidi="ar-SA"/>
              </w:rPr>
            </w:pPr>
            <w:r>
              <w:rPr>
                <w:rFonts w:ascii="宋体" w:hAnsi="宋体" w:eastAsia="宋体"/>
                <w:sz w:val="24"/>
                <w:szCs w:val="24"/>
              </w:rPr>
              <w:t>201</w:t>
            </w:r>
            <w:r>
              <w:rPr>
                <w:rFonts w:hint="eastAsia" w:ascii="宋体" w:hAnsi="宋体" w:eastAsia="宋体"/>
                <w:sz w:val="24"/>
                <w:szCs w:val="24"/>
              </w:rPr>
              <w:t>7</w:t>
            </w:r>
            <w:r>
              <w:rPr>
                <w:rFonts w:ascii="宋体" w:hAnsi="宋体" w:eastAsia="宋体"/>
                <w:sz w:val="24"/>
                <w:szCs w:val="24"/>
              </w:rPr>
              <w:t>～201</w:t>
            </w:r>
            <w:r>
              <w:rPr>
                <w:rFonts w:hint="eastAsia" w:ascii="宋体" w:hAnsi="宋体" w:eastAsia="宋体"/>
                <w:sz w:val="24"/>
                <w:szCs w:val="24"/>
              </w:rPr>
              <w:t>8</w:t>
            </w:r>
          </w:p>
        </w:tc>
        <w:tc>
          <w:tcPr>
            <w:tcW w:w="815" w:type="dxa"/>
            <w:tcBorders>
              <w:bottom w:val="single" w:color="auto" w:sz="4" w:space="0"/>
            </w:tcBorders>
            <w:vAlign w:val="center"/>
          </w:tcPr>
          <w:p>
            <w:pPr>
              <w:adjustRightInd w:val="0"/>
              <w:snapToGrid w:val="0"/>
              <w:spacing w:line="220" w:lineRule="atLeast"/>
              <w:jc w:val="center"/>
              <w:rPr>
                <w:rFonts w:ascii="宋体" w:hAnsi="宋体" w:eastAsia="宋体" w:cstheme="minorBidi"/>
                <w:kern w:val="2"/>
                <w:sz w:val="24"/>
                <w:szCs w:val="24"/>
                <w:lang w:val="en-US" w:eastAsia="zh-CN" w:bidi="ar-SA"/>
              </w:rPr>
            </w:pPr>
            <w:r>
              <w:rPr>
                <w:rFonts w:hint="eastAsia" w:ascii="宋体" w:hAnsi="宋体" w:eastAsia="宋体"/>
                <w:sz w:val="24"/>
                <w:szCs w:val="24"/>
              </w:rPr>
              <w:t>833</w:t>
            </w:r>
          </w:p>
        </w:tc>
        <w:tc>
          <w:tcPr>
            <w:tcW w:w="1138" w:type="dxa"/>
            <w:tcBorders>
              <w:bottom w:val="single" w:color="auto" w:sz="4" w:space="0"/>
            </w:tcBorders>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70</w:t>
            </w:r>
          </w:p>
        </w:tc>
        <w:tc>
          <w:tcPr>
            <w:tcW w:w="1084" w:type="dxa"/>
            <w:tcBorders>
              <w:bottom w:val="single" w:color="auto" w:sz="4" w:space="0"/>
            </w:tcBorders>
            <w:vAlign w:val="center"/>
          </w:tcPr>
          <w:p>
            <w:pPr>
              <w:adjustRightInd w:val="0"/>
              <w:snapToGrid w:val="0"/>
              <w:spacing w:line="220" w:lineRule="atLeast"/>
              <w:jc w:val="center"/>
              <w:rPr>
                <w:rFonts w:ascii="宋体" w:hAnsi="宋体" w:eastAsia="宋体" w:cstheme="minorBidi"/>
                <w:kern w:val="2"/>
                <w:sz w:val="24"/>
                <w:szCs w:val="24"/>
                <w:lang w:val="en-US" w:eastAsia="zh-CN" w:bidi="ar-SA"/>
              </w:rPr>
            </w:pPr>
            <w:r>
              <w:rPr>
                <w:rFonts w:hint="eastAsia" w:ascii="宋体" w:hAnsi="宋体" w:eastAsia="宋体"/>
                <w:sz w:val="24"/>
                <w:szCs w:val="24"/>
              </w:rPr>
              <w:t>217</w:t>
            </w:r>
          </w:p>
        </w:tc>
        <w:tc>
          <w:tcPr>
            <w:tcW w:w="1080" w:type="dxa"/>
            <w:tcBorders>
              <w:bottom w:val="single" w:color="auto" w:sz="4" w:space="0"/>
            </w:tcBorders>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18</w:t>
            </w:r>
          </w:p>
        </w:tc>
        <w:tc>
          <w:tcPr>
            <w:tcW w:w="941" w:type="dxa"/>
            <w:tcBorders>
              <w:bottom w:val="single" w:color="auto" w:sz="4" w:space="0"/>
            </w:tcBorders>
            <w:vAlign w:val="center"/>
          </w:tcPr>
          <w:p>
            <w:pPr>
              <w:adjustRightInd w:val="0"/>
              <w:snapToGrid w:val="0"/>
              <w:spacing w:line="220" w:lineRule="atLeast"/>
              <w:jc w:val="center"/>
              <w:rPr>
                <w:rFonts w:ascii="宋体" w:hAnsi="宋体" w:eastAsia="宋体" w:cstheme="minorBidi"/>
                <w:kern w:val="2"/>
                <w:sz w:val="24"/>
                <w:szCs w:val="24"/>
                <w:lang w:val="en-US" w:eastAsia="zh-CN" w:bidi="ar-SA"/>
              </w:rPr>
            </w:pPr>
            <w:r>
              <w:rPr>
                <w:rFonts w:hint="eastAsia" w:ascii="宋体" w:hAnsi="宋体" w:eastAsia="宋体"/>
                <w:sz w:val="24"/>
                <w:szCs w:val="24"/>
              </w:rPr>
              <w:t>94</w:t>
            </w:r>
          </w:p>
        </w:tc>
        <w:tc>
          <w:tcPr>
            <w:tcW w:w="1486" w:type="dxa"/>
            <w:tcBorders>
              <w:bottom w:val="single" w:color="auto" w:sz="4" w:space="0"/>
            </w:tcBorders>
            <w:vAlign w:val="center"/>
          </w:tcPr>
          <w:p>
            <w:pPr>
              <w:adjustRightInd w:val="0"/>
              <w:snapToGrid w:val="0"/>
              <w:spacing w:line="220" w:lineRule="atLeast"/>
              <w:jc w:val="center"/>
              <w:rPr>
                <w:rFonts w:ascii="宋体" w:hAnsi="宋体" w:eastAsia="宋体" w:cstheme="minorBidi"/>
                <w:kern w:val="2"/>
                <w:sz w:val="24"/>
                <w:szCs w:val="24"/>
                <w:lang w:val="en-US" w:eastAsia="zh-CN" w:bidi="ar-SA"/>
              </w:rPr>
            </w:pPr>
            <w:r>
              <w:rPr>
                <w:rFonts w:hint="eastAsia" w:ascii="宋体" w:hAnsi="宋体" w:eastAsia="宋体"/>
                <w:sz w:val="24"/>
                <w:szCs w:val="24"/>
              </w:rPr>
              <w:t>9.4</w:t>
            </w:r>
          </w:p>
        </w:tc>
        <w:tc>
          <w:tcPr>
            <w:tcW w:w="854" w:type="dxa"/>
            <w:tcBorders>
              <w:bottom w:val="single" w:color="auto" w:sz="4" w:space="0"/>
            </w:tcBorders>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1353" w:type="dxa"/>
            <w:vAlign w:val="center"/>
          </w:tcPr>
          <w:p>
            <w:pPr>
              <w:spacing w:line="240" w:lineRule="atLeas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2018</w:t>
            </w:r>
            <w:r>
              <w:rPr>
                <w:rFonts w:ascii="宋体" w:hAnsi="宋体" w:eastAsia="宋体"/>
                <w:sz w:val="24"/>
                <w:szCs w:val="24"/>
              </w:rPr>
              <w:t>～</w:t>
            </w:r>
            <w:r>
              <w:rPr>
                <w:rFonts w:hint="eastAsia" w:ascii="宋体" w:hAnsi="宋体" w:eastAsia="宋体"/>
                <w:sz w:val="24"/>
                <w:szCs w:val="24"/>
                <w:lang w:val="en-US" w:eastAsia="zh-CN"/>
              </w:rPr>
              <w:t>2019</w:t>
            </w:r>
          </w:p>
        </w:tc>
        <w:tc>
          <w:tcPr>
            <w:tcW w:w="815"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1095</w:t>
            </w:r>
          </w:p>
        </w:tc>
        <w:tc>
          <w:tcPr>
            <w:tcW w:w="1138"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86</w:t>
            </w:r>
          </w:p>
        </w:tc>
        <w:tc>
          <w:tcPr>
            <w:tcW w:w="1084"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396</w:t>
            </w:r>
          </w:p>
        </w:tc>
        <w:tc>
          <w:tcPr>
            <w:tcW w:w="1080"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31</w:t>
            </w:r>
          </w:p>
        </w:tc>
        <w:tc>
          <w:tcPr>
            <w:tcW w:w="941"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178</w:t>
            </w:r>
          </w:p>
        </w:tc>
        <w:tc>
          <w:tcPr>
            <w:tcW w:w="1486"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14.9</w:t>
            </w:r>
          </w:p>
        </w:tc>
        <w:tc>
          <w:tcPr>
            <w:tcW w:w="854"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14</w:t>
            </w:r>
          </w:p>
        </w:tc>
      </w:tr>
    </w:tbl>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2.4就业质量。</w:t>
      </w:r>
      <w:r>
        <w:rPr>
          <w:rFonts w:ascii="宋体" w:hAnsi="宋体" w:eastAsia="宋体" w:cs="宋体"/>
          <w:kern w:val="0"/>
          <w:sz w:val="24"/>
          <w:szCs w:val="24"/>
        </w:rPr>
        <w:br w:type="textWrapping"/>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201</w:t>
      </w:r>
      <w:r>
        <w:rPr>
          <w:rFonts w:hint="eastAsia" w:ascii="宋体" w:hAnsi="宋体" w:eastAsia="宋体" w:cs="宋体"/>
          <w:kern w:val="0"/>
          <w:sz w:val="24"/>
          <w:szCs w:val="24"/>
          <w:lang w:val="en-US" w:eastAsia="zh-CN"/>
        </w:rPr>
        <w:t>9</w:t>
      </w:r>
      <w:r>
        <w:rPr>
          <w:rFonts w:ascii="宋体" w:hAnsi="宋体" w:eastAsia="宋体" w:cs="宋体"/>
          <w:kern w:val="0"/>
          <w:sz w:val="24"/>
          <w:szCs w:val="24"/>
        </w:rPr>
        <w:t>年，学校毕业生为</w:t>
      </w:r>
      <w:r>
        <w:rPr>
          <w:rFonts w:hint="eastAsia" w:ascii="宋体" w:hAnsi="宋体" w:eastAsia="宋体" w:cs="宋体"/>
          <w:kern w:val="0"/>
          <w:sz w:val="24"/>
          <w:szCs w:val="24"/>
          <w:lang w:val="en-US" w:eastAsia="zh-CN"/>
        </w:rPr>
        <w:t>330</w:t>
      </w:r>
      <w:r>
        <w:rPr>
          <w:rFonts w:ascii="宋体" w:hAnsi="宋体" w:eastAsia="宋体" w:cs="宋体"/>
          <w:kern w:val="0"/>
          <w:sz w:val="24"/>
          <w:szCs w:val="24"/>
        </w:rPr>
        <w:t>人，毕业生就业率达100%。其中</w:t>
      </w:r>
      <w:r>
        <w:rPr>
          <w:rFonts w:hint="eastAsia" w:ascii="宋体" w:hAnsi="宋体" w:eastAsia="宋体"/>
          <w:sz w:val="24"/>
          <w:szCs w:val="24"/>
        </w:rPr>
        <w:t>中药</w:t>
      </w:r>
      <w:r>
        <w:rPr>
          <w:rFonts w:ascii="宋体" w:hAnsi="宋体" w:eastAsia="宋体" w:cs="宋体"/>
          <w:kern w:val="0"/>
          <w:sz w:val="24"/>
          <w:szCs w:val="24"/>
        </w:rPr>
        <w:t>专业毕业生</w:t>
      </w:r>
      <w:r>
        <w:rPr>
          <w:rFonts w:hint="eastAsia" w:ascii="宋体" w:hAnsi="宋体" w:eastAsia="宋体" w:cs="宋体"/>
          <w:kern w:val="0"/>
          <w:sz w:val="24"/>
          <w:szCs w:val="24"/>
          <w:lang w:val="en-US" w:eastAsia="zh-CN"/>
        </w:rPr>
        <w:t>81</w:t>
      </w:r>
      <w:r>
        <w:rPr>
          <w:rFonts w:ascii="宋体" w:hAnsi="宋体" w:eastAsia="宋体" w:cs="宋体"/>
          <w:kern w:val="0"/>
          <w:sz w:val="24"/>
          <w:szCs w:val="24"/>
        </w:rPr>
        <w:t>人，对口就业率为9</w:t>
      </w:r>
      <w:r>
        <w:rPr>
          <w:rFonts w:hint="eastAsia" w:ascii="宋体" w:hAnsi="宋体" w:eastAsia="宋体" w:cs="宋体"/>
          <w:kern w:val="0"/>
          <w:sz w:val="24"/>
          <w:szCs w:val="24"/>
          <w:lang w:val="en-US" w:eastAsia="zh-CN"/>
        </w:rPr>
        <w:t>1</w:t>
      </w:r>
      <w:r>
        <w:rPr>
          <w:rFonts w:ascii="宋体" w:hAnsi="宋体" w:eastAsia="宋体" w:cs="宋体"/>
          <w:kern w:val="0"/>
          <w:sz w:val="24"/>
          <w:szCs w:val="24"/>
        </w:rPr>
        <w:t>%，初次起薪</w:t>
      </w: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00</w:t>
      </w:r>
      <w:r>
        <w:rPr>
          <w:rFonts w:ascii="宋体" w:hAnsi="宋体" w:eastAsia="宋体" w:cs="宋体"/>
          <w:kern w:val="0"/>
          <w:sz w:val="24"/>
          <w:szCs w:val="24"/>
        </w:rPr>
        <w:t>元。</w:t>
      </w:r>
      <w:r>
        <w:rPr>
          <w:rFonts w:hint="eastAsia" w:ascii="宋体" w:hAnsi="宋体" w:eastAsia="宋体"/>
          <w:sz w:val="24"/>
          <w:szCs w:val="24"/>
        </w:rPr>
        <w:t>药剂</w:t>
      </w:r>
      <w:r>
        <w:rPr>
          <w:rFonts w:ascii="宋体" w:hAnsi="宋体" w:eastAsia="宋体" w:cs="宋体"/>
          <w:kern w:val="0"/>
          <w:sz w:val="24"/>
          <w:szCs w:val="24"/>
        </w:rPr>
        <w:t>专业毕业生</w:t>
      </w:r>
      <w:r>
        <w:rPr>
          <w:rFonts w:hint="eastAsia" w:ascii="宋体" w:hAnsi="宋体" w:eastAsia="宋体" w:cs="宋体"/>
          <w:kern w:val="0"/>
          <w:sz w:val="24"/>
          <w:szCs w:val="24"/>
          <w:lang w:val="en-US" w:eastAsia="zh-CN"/>
        </w:rPr>
        <w:t>249</w:t>
      </w:r>
      <w:r>
        <w:rPr>
          <w:rFonts w:ascii="宋体" w:hAnsi="宋体" w:eastAsia="宋体" w:cs="宋体"/>
          <w:kern w:val="0"/>
          <w:sz w:val="24"/>
          <w:szCs w:val="24"/>
        </w:rPr>
        <w:t>人，对口就业率为</w:t>
      </w:r>
      <w:r>
        <w:rPr>
          <w:rFonts w:hint="eastAsia" w:ascii="宋体" w:hAnsi="宋体" w:eastAsia="宋体" w:cs="宋体"/>
          <w:kern w:val="0"/>
          <w:sz w:val="24"/>
          <w:szCs w:val="24"/>
        </w:rPr>
        <w:t>92</w:t>
      </w:r>
      <w:r>
        <w:rPr>
          <w:rFonts w:ascii="宋体" w:hAnsi="宋体" w:eastAsia="宋体" w:cs="宋体"/>
          <w:kern w:val="0"/>
          <w:sz w:val="24"/>
          <w:szCs w:val="24"/>
        </w:rPr>
        <w:t>%，初次起薪</w:t>
      </w: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4</w:t>
      </w:r>
      <w:r>
        <w:rPr>
          <w:rFonts w:ascii="宋体" w:hAnsi="宋体" w:eastAsia="宋体" w:cs="宋体"/>
          <w:kern w:val="0"/>
          <w:sz w:val="24"/>
          <w:szCs w:val="24"/>
        </w:rPr>
        <w:t>00元。</w:t>
      </w:r>
      <w:r>
        <w:rPr>
          <w:rFonts w:ascii="宋体" w:hAnsi="宋体" w:eastAsia="宋体" w:cs="宋体"/>
          <w:kern w:val="0"/>
          <w:sz w:val="24"/>
          <w:szCs w:val="24"/>
        </w:rPr>
        <w:br w:type="textWrapping"/>
      </w:r>
      <w:r>
        <w:rPr>
          <w:rFonts w:ascii="宋体" w:hAnsi="宋体" w:eastAsia="宋体" w:cs="宋体"/>
          <w:kern w:val="0"/>
          <w:sz w:val="24"/>
          <w:szCs w:val="24"/>
        </w:rPr>
        <w:t>表2-4 近两年中等职业学校毕业生就业情况一览表</w:t>
      </w:r>
    </w:p>
    <w:tbl>
      <w:tblPr>
        <w:tblStyle w:val="5"/>
        <w:tblW w:w="9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696"/>
        <w:gridCol w:w="946"/>
        <w:gridCol w:w="750"/>
        <w:gridCol w:w="900"/>
        <w:gridCol w:w="761"/>
        <w:gridCol w:w="900"/>
        <w:gridCol w:w="784"/>
        <w:gridCol w:w="765"/>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921" w:type="dxa"/>
            <w:vMerge w:val="restart"/>
            <w:vAlign w:val="center"/>
          </w:tcPr>
          <w:p>
            <w:pPr>
              <w:adjustRightInd w:val="0"/>
              <w:snapToGrid w:val="0"/>
              <w:spacing w:line="240" w:lineRule="exact"/>
              <w:jc w:val="center"/>
              <w:rPr>
                <w:rFonts w:ascii="宋体" w:hAnsi="宋体" w:eastAsia="宋体"/>
                <w:bCs/>
                <w:sz w:val="24"/>
                <w:szCs w:val="24"/>
              </w:rPr>
            </w:pPr>
            <w:r>
              <w:rPr>
                <w:rFonts w:hint="eastAsia" w:ascii="宋体" w:hAnsi="宋体" w:eastAsia="宋体"/>
                <w:bCs/>
                <w:sz w:val="24"/>
                <w:szCs w:val="24"/>
              </w:rPr>
              <w:t>学年度</w:t>
            </w:r>
          </w:p>
        </w:tc>
        <w:tc>
          <w:tcPr>
            <w:tcW w:w="1696" w:type="dxa"/>
            <w:vMerge w:val="restart"/>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开设专业</w:t>
            </w:r>
          </w:p>
        </w:tc>
        <w:tc>
          <w:tcPr>
            <w:tcW w:w="946" w:type="dxa"/>
            <w:vMerge w:val="restart"/>
            <w:vAlign w:val="center"/>
          </w:tcPr>
          <w:p>
            <w:pPr>
              <w:adjustRightInd w:val="0"/>
              <w:snapToGrid w:val="0"/>
              <w:spacing w:line="240" w:lineRule="exact"/>
              <w:rPr>
                <w:rFonts w:ascii="宋体" w:hAnsi="宋体" w:eastAsia="宋体"/>
                <w:bCs/>
                <w:sz w:val="24"/>
                <w:szCs w:val="24"/>
              </w:rPr>
            </w:pPr>
            <w:r>
              <w:rPr>
                <w:rFonts w:hint="eastAsia" w:ascii="宋体" w:hAnsi="宋体" w:eastAsia="宋体"/>
                <w:bCs/>
                <w:sz w:val="24"/>
                <w:szCs w:val="24"/>
              </w:rPr>
              <w:t>毕业生（人）</w:t>
            </w:r>
          </w:p>
        </w:tc>
        <w:tc>
          <w:tcPr>
            <w:tcW w:w="1650" w:type="dxa"/>
            <w:gridSpan w:val="2"/>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毕业生就业</w:t>
            </w:r>
          </w:p>
        </w:tc>
        <w:tc>
          <w:tcPr>
            <w:tcW w:w="1661" w:type="dxa"/>
            <w:gridSpan w:val="2"/>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毕业生对口就业</w:t>
            </w:r>
          </w:p>
        </w:tc>
        <w:tc>
          <w:tcPr>
            <w:tcW w:w="1549" w:type="dxa"/>
            <w:gridSpan w:val="2"/>
            <w:vAlign w:val="center"/>
          </w:tcPr>
          <w:p>
            <w:pPr>
              <w:adjustRightInd w:val="0"/>
              <w:snapToGrid w:val="0"/>
              <w:spacing w:line="240" w:lineRule="exact"/>
              <w:jc w:val="center"/>
              <w:rPr>
                <w:rFonts w:ascii="宋体" w:hAnsi="宋体" w:eastAsia="宋体"/>
                <w:bCs/>
                <w:sz w:val="24"/>
                <w:szCs w:val="24"/>
              </w:rPr>
            </w:pPr>
            <w:r>
              <w:rPr>
                <w:rFonts w:hint="eastAsia" w:ascii="宋体" w:hAnsi="宋体" w:eastAsia="宋体"/>
                <w:bCs/>
                <w:sz w:val="24"/>
                <w:szCs w:val="24"/>
              </w:rPr>
              <w:t>升入高等学校</w:t>
            </w:r>
          </w:p>
        </w:tc>
        <w:tc>
          <w:tcPr>
            <w:tcW w:w="799" w:type="dxa"/>
            <w:vMerge w:val="restart"/>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初次就业起薪（元/月）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exact"/>
        </w:trPr>
        <w:tc>
          <w:tcPr>
            <w:tcW w:w="921" w:type="dxa"/>
            <w:vMerge w:val="continue"/>
            <w:vAlign w:val="center"/>
          </w:tcPr>
          <w:p>
            <w:pPr>
              <w:adjustRightInd w:val="0"/>
              <w:snapToGrid w:val="0"/>
              <w:spacing w:line="240" w:lineRule="exact"/>
              <w:jc w:val="center"/>
              <w:rPr>
                <w:rFonts w:hint="eastAsia" w:ascii="宋体" w:hAnsi="宋体" w:eastAsia="宋体"/>
                <w:bCs/>
                <w:sz w:val="24"/>
                <w:szCs w:val="24"/>
              </w:rPr>
            </w:pPr>
          </w:p>
        </w:tc>
        <w:tc>
          <w:tcPr>
            <w:tcW w:w="1696" w:type="dxa"/>
            <w:vMerge w:val="continue"/>
          </w:tcPr>
          <w:p>
            <w:pPr>
              <w:adjustRightInd w:val="0"/>
              <w:snapToGrid w:val="0"/>
              <w:spacing w:line="240" w:lineRule="exact"/>
              <w:jc w:val="center"/>
              <w:rPr>
                <w:rFonts w:hint="eastAsia" w:ascii="宋体" w:hAnsi="宋体" w:eastAsia="宋体"/>
                <w:bCs/>
                <w:sz w:val="24"/>
                <w:szCs w:val="24"/>
              </w:rPr>
            </w:pPr>
          </w:p>
        </w:tc>
        <w:tc>
          <w:tcPr>
            <w:tcW w:w="946" w:type="dxa"/>
            <w:vMerge w:val="continue"/>
            <w:vAlign w:val="center"/>
          </w:tcPr>
          <w:p>
            <w:pPr>
              <w:adjustRightInd w:val="0"/>
              <w:snapToGrid w:val="0"/>
              <w:spacing w:line="240" w:lineRule="exact"/>
              <w:jc w:val="center"/>
              <w:rPr>
                <w:rFonts w:hint="eastAsia" w:ascii="宋体" w:hAnsi="宋体" w:eastAsia="宋体"/>
                <w:bCs/>
                <w:sz w:val="24"/>
                <w:szCs w:val="24"/>
              </w:rPr>
            </w:pPr>
          </w:p>
        </w:tc>
        <w:tc>
          <w:tcPr>
            <w:tcW w:w="750"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人数</w:t>
            </w:r>
          </w:p>
        </w:tc>
        <w:tc>
          <w:tcPr>
            <w:tcW w:w="900"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就业率</w:t>
            </w:r>
          </w:p>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w:t>
            </w:r>
            <w:r>
              <w:rPr>
                <w:rFonts w:hint="eastAsia" w:ascii="宋体" w:hAnsi="宋体" w:eastAsia="宋体"/>
                <w:bCs/>
                <w:sz w:val="24"/>
                <w:szCs w:val="24"/>
              </w:rPr>
              <w:t>）</w:t>
            </w:r>
          </w:p>
        </w:tc>
        <w:tc>
          <w:tcPr>
            <w:tcW w:w="761"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人数</w:t>
            </w:r>
          </w:p>
        </w:tc>
        <w:tc>
          <w:tcPr>
            <w:tcW w:w="900" w:type="dxa"/>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对口就业率（</w:t>
            </w:r>
            <w:r>
              <w:rPr>
                <w:rFonts w:ascii="宋体" w:hAnsi="宋体" w:eastAsia="宋体"/>
                <w:bCs/>
                <w:sz w:val="24"/>
                <w:szCs w:val="24"/>
              </w:rPr>
              <w:t>%</w:t>
            </w:r>
            <w:r>
              <w:rPr>
                <w:rFonts w:hint="eastAsia" w:ascii="宋体" w:hAnsi="宋体" w:eastAsia="宋体"/>
                <w:bCs/>
                <w:sz w:val="24"/>
                <w:szCs w:val="24"/>
              </w:rPr>
              <w:t>）</w:t>
            </w:r>
          </w:p>
        </w:tc>
        <w:tc>
          <w:tcPr>
            <w:tcW w:w="784"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人数</w:t>
            </w:r>
          </w:p>
        </w:tc>
        <w:tc>
          <w:tcPr>
            <w:tcW w:w="765"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比例</w:t>
            </w:r>
          </w:p>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w:t>
            </w:r>
          </w:p>
        </w:tc>
        <w:tc>
          <w:tcPr>
            <w:tcW w:w="799" w:type="dxa"/>
            <w:vMerge w:val="continue"/>
            <w:vAlign w:val="center"/>
          </w:tcPr>
          <w:p>
            <w:pPr>
              <w:adjustRightInd w:val="0"/>
              <w:snapToGrid w:val="0"/>
              <w:spacing w:line="240" w:lineRule="exact"/>
              <w:jc w:val="center"/>
              <w:rPr>
                <w:rFonts w:hint="eastAsia"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921" w:type="dxa"/>
            <w:vMerge w:val="restart"/>
            <w:vAlign w:val="center"/>
          </w:tcPr>
          <w:p>
            <w:pPr>
              <w:spacing w:line="240" w:lineRule="atLeast"/>
              <w:jc w:val="center"/>
              <w:rPr>
                <w:rFonts w:hint="eastAsia" w:ascii="宋体" w:hAnsi="宋体" w:eastAsia="宋体" w:cs="宋体"/>
                <w:sz w:val="24"/>
                <w:szCs w:val="24"/>
                <w:lang w:eastAsia="zh-CN"/>
              </w:rPr>
            </w:pPr>
            <w:r>
              <w:rPr>
                <w:rFonts w:ascii="宋体" w:hAnsi="宋体" w:eastAsia="宋体"/>
                <w:sz w:val="24"/>
                <w:szCs w:val="24"/>
              </w:rPr>
              <w:t>201</w:t>
            </w:r>
            <w:r>
              <w:rPr>
                <w:rFonts w:hint="eastAsia" w:ascii="宋体" w:hAnsi="宋体" w:eastAsia="宋体"/>
                <w:sz w:val="24"/>
                <w:szCs w:val="24"/>
                <w:lang w:val="en-US" w:eastAsia="zh-CN"/>
              </w:rPr>
              <w:t>7</w:t>
            </w:r>
            <w:r>
              <w:rPr>
                <w:rFonts w:ascii="宋体" w:hAnsi="宋体" w:eastAsia="宋体"/>
                <w:sz w:val="24"/>
                <w:szCs w:val="24"/>
              </w:rPr>
              <w:t>～201</w:t>
            </w:r>
            <w:r>
              <w:rPr>
                <w:rFonts w:hint="eastAsia" w:ascii="宋体" w:hAnsi="宋体" w:eastAsia="宋体"/>
                <w:sz w:val="24"/>
                <w:szCs w:val="24"/>
                <w:lang w:val="en-US" w:eastAsia="zh-CN"/>
              </w:rPr>
              <w:t>8</w:t>
            </w:r>
          </w:p>
        </w:tc>
        <w:tc>
          <w:tcPr>
            <w:tcW w:w="1696" w:type="dxa"/>
            <w:tcBorders>
              <w:bottom w:val="single" w:color="auto" w:sz="4" w:space="0"/>
            </w:tcBorders>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中药（100802）</w:t>
            </w:r>
          </w:p>
        </w:tc>
        <w:tc>
          <w:tcPr>
            <w:tcW w:w="946" w:type="dxa"/>
            <w:tcBorders>
              <w:bottom w:val="single" w:color="auto" w:sz="4" w:space="0"/>
            </w:tcBorders>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119</w:t>
            </w:r>
          </w:p>
        </w:tc>
        <w:tc>
          <w:tcPr>
            <w:tcW w:w="750" w:type="dxa"/>
            <w:tcBorders>
              <w:bottom w:val="single" w:color="auto" w:sz="4" w:space="0"/>
            </w:tcBorders>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119</w:t>
            </w:r>
          </w:p>
        </w:tc>
        <w:tc>
          <w:tcPr>
            <w:tcW w:w="900" w:type="dxa"/>
            <w:tcBorders>
              <w:bottom w:val="single" w:color="auto" w:sz="4" w:space="0"/>
            </w:tcBorders>
            <w:vAlign w:val="center"/>
          </w:tcPr>
          <w:p>
            <w:pPr>
              <w:adjustRightInd w:val="0"/>
              <w:snapToGrid w:val="0"/>
              <w:spacing w:line="220" w:lineRule="atLeast"/>
              <w:jc w:val="center"/>
              <w:rPr>
                <w:rFonts w:ascii="宋体" w:hAnsi="宋体" w:eastAsia="宋体" w:cstheme="minorBidi"/>
                <w:kern w:val="2"/>
                <w:sz w:val="24"/>
                <w:szCs w:val="24"/>
                <w:lang w:val="en-US" w:eastAsia="zh-CN" w:bidi="ar-SA"/>
              </w:rPr>
            </w:pPr>
            <w:r>
              <w:rPr>
                <w:rFonts w:hint="eastAsia" w:ascii="宋体" w:hAnsi="宋体" w:eastAsia="宋体"/>
                <w:sz w:val="24"/>
                <w:szCs w:val="24"/>
              </w:rPr>
              <w:t>100</w:t>
            </w:r>
          </w:p>
        </w:tc>
        <w:tc>
          <w:tcPr>
            <w:tcW w:w="761" w:type="dxa"/>
            <w:tcBorders>
              <w:bottom w:val="single" w:color="auto" w:sz="4" w:space="0"/>
            </w:tcBorders>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108</w:t>
            </w:r>
          </w:p>
        </w:tc>
        <w:tc>
          <w:tcPr>
            <w:tcW w:w="900" w:type="dxa"/>
            <w:tcBorders>
              <w:bottom w:val="single" w:color="auto" w:sz="4" w:space="0"/>
            </w:tcBorders>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91</w:t>
            </w:r>
          </w:p>
        </w:tc>
        <w:tc>
          <w:tcPr>
            <w:tcW w:w="784" w:type="dxa"/>
            <w:tcBorders>
              <w:bottom w:val="single" w:color="auto" w:sz="4" w:space="0"/>
            </w:tcBorders>
            <w:vAlign w:val="center"/>
          </w:tcPr>
          <w:p>
            <w:pPr>
              <w:adjustRightInd w:val="0"/>
              <w:snapToGrid w:val="0"/>
              <w:spacing w:line="220" w:lineRule="atLeast"/>
              <w:jc w:val="center"/>
              <w:rPr>
                <w:rFonts w:ascii="宋体" w:hAnsi="宋体" w:eastAsia="宋体" w:cstheme="minorBidi"/>
                <w:kern w:val="2"/>
                <w:sz w:val="24"/>
                <w:szCs w:val="24"/>
                <w:lang w:val="en-US" w:eastAsia="zh-CN" w:bidi="ar-SA"/>
              </w:rPr>
            </w:pPr>
            <w:r>
              <w:rPr>
                <w:rFonts w:hint="eastAsia" w:ascii="宋体" w:hAnsi="宋体" w:eastAsia="宋体"/>
                <w:sz w:val="24"/>
                <w:szCs w:val="24"/>
              </w:rPr>
              <w:t>0</w:t>
            </w:r>
          </w:p>
        </w:tc>
        <w:tc>
          <w:tcPr>
            <w:tcW w:w="765" w:type="dxa"/>
            <w:tcBorders>
              <w:bottom w:val="single" w:color="auto" w:sz="4" w:space="0"/>
            </w:tcBorders>
            <w:vAlign w:val="center"/>
          </w:tcPr>
          <w:p>
            <w:pPr>
              <w:adjustRightInd w:val="0"/>
              <w:snapToGrid w:val="0"/>
              <w:spacing w:line="220" w:lineRule="atLeast"/>
              <w:jc w:val="center"/>
              <w:rPr>
                <w:rFonts w:ascii="宋体" w:hAnsi="宋体" w:eastAsia="宋体" w:cstheme="minorBidi"/>
                <w:kern w:val="2"/>
                <w:sz w:val="24"/>
                <w:szCs w:val="24"/>
                <w:lang w:val="en-US" w:eastAsia="zh-CN" w:bidi="ar-SA"/>
              </w:rPr>
            </w:pPr>
            <w:r>
              <w:rPr>
                <w:rFonts w:hint="eastAsia" w:ascii="宋体" w:hAnsi="宋体" w:eastAsia="宋体"/>
                <w:sz w:val="24"/>
                <w:szCs w:val="24"/>
              </w:rPr>
              <w:t>0</w:t>
            </w:r>
          </w:p>
        </w:tc>
        <w:tc>
          <w:tcPr>
            <w:tcW w:w="799" w:type="dxa"/>
            <w:tcBorders>
              <w:bottom w:val="single" w:color="auto" w:sz="4" w:space="0"/>
            </w:tcBorders>
            <w:vAlign w:val="center"/>
          </w:tcPr>
          <w:p>
            <w:pPr>
              <w:adjustRightInd w:val="0"/>
              <w:snapToGrid w:val="0"/>
              <w:spacing w:line="220" w:lineRule="atLeast"/>
              <w:jc w:val="center"/>
              <w:rPr>
                <w:rFonts w:ascii="宋体" w:hAnsi="宋体" w:eastAsia="宋体" w:cstheme="minorBidi"/>
                <w:kern w:val="2"/>
                <w:sz w:val="24"/>
                <w:szCs w:val="24"/>
                <w:lang w:val="en-US" w:eastAsia="zh-CN" w:bidi="ar-SA"/>
              </w:rPr>
            </w:pPr>
            <w:r>
              <w:rPr>
                <w:rFonts w:hint="eastAsia" w:ascii="宋体" w:hAnsi="宋体" w:eastAsia="宋体"/>
                <w:sz w:val="24"/>
                <w:szCs w:val="24"/>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921" w:type="dxa"/>
            <w:vMerge w:val="continue"/>
            <w:vAlign w:val="center"/>
          </w:tcPr>
          <w:p>
            <w:pPr>
              <w:spacing w:line="240" w:lineRule="atLeast"/>
              <w:jc w:val="center"/>
              <w:rPr>
                <w:rFonts w:ascii="宋体" w:hAnsi="宋体" w:eastAsia="宋体"/>
                <w:sz w:val="24"/>
                <w:szCs w:val="24"/>
              </w:rPr>
            </w:pPr>
          </w:p>
        </w:tc>
        <w:tc>
          <w:tcPr>
            <w:tcW w:w="1696" w:type="dxa"/>
            <w:tcBorders>
              <w:bottom w:val="single" w:color="auto" w:sz="4" w:space="0"/>
            </w:tcBorders>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药剂（100803）</w:t>
            </w:r>
          </w:p>
        </w:tc>
        <w:tc>
          <w:tcPr>
            <w:tcW w:w="946" w:type="dxa"/>
            <w:tcBorders>
              <w:bottom w:val="single" w:color="auto" w:sz="4" w:space="0"/>
            </w:tcBorders>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419</w:t>
            </w:r>
          </w:p>
        </w:tc>
        <w:tc>
          <w:tcPr>
            <w:tcW w:w="750" w:type="dxa"/>
            <w:tcBorders>
              <w:bottom w:val="single" w:color="auto" w:sz="4" w:space="0"/>
            </w:tcBorders>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419</w:t>
            </w:r>
          </w:p>
        </w:tc>
        <w:tc>
          <w:tcPr>
            <w:tcW w:w="900" w:type="dxa"/>
            <w:tcBorders>
              <w:bottom w:val="single" w:color="auto" w:sz="4" w:space="0"/>
            </w:tcBorders>
            <w:vAlign w:val="center"/>
          </w:tcPr>
          <w:p>
            <w:pPr>
              <w:adjustRightInd w:val="0"/>
              <w:snapToGrid w:val="0"/>
              <w:spacing w:line="220" w:lineRule="atLeast"/>
              <w:jc w:val="center"/>
              <w:rPr>
                <w:rFonts w:ascii="宋体" w:hAnsi="宋体" w:eastAsia="宋体" w:cstheme="minorBidi"/>
                <w:kern w:val="2"/>
                <w:sz w:val="24"/>
                <w:szCs w:val="24"/>
                <w:lang w:val="en-US" w:eastAsia="zh-CN" w:bidi="ar-SA"/>
              </w:rPr>
            </w:pPr>
            <w:r>
              <w:rPr>
                <w:rFonts w:hint="eastAsia" w:ascii="宋体" w:hAnsi="宋体" w:eastAsia="宋体"/>
                <w:sz w:val="24"/>
                <w:szCs w:val="24"/>
              </w:rPr>
              <w:t>100</w:t>
            </w:r>
          </w:p>
        </w:tc>
        <w:tc>
          <w:tcPr>
            <w:tcW w:w="761" w:type="dxa"/>
            <w:tcBorders>
              <w:bottom w:val="single" w:color="auto" w:sz="4" w:space="0"/>
            </w:tcBorders>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387</w:t>
            </w:r>
          </w:p>
        </w:tc>
        <w:tc>
          <w:tcPr>
            <w:tcW w:w="900" w:type="dxa"/>
            <w:tcBorders>
              <w:bottom w:val="single" w:color="auto" w:sz="4" w:space="0"/>
            </w:tcBorders>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92</w:t>
            </w:r>
          </w:p>
        </w:tc>
        <w:tc>
          <w:tcPr>
            <w:tcW w:w="784" w:type="dxa"/>
            <w:tcBorders>
              <w:bottom w:val="single" w:color="auto" w:sz="4" w:space="0"/>
            </w:tcBorders>
            <w:vAlign w:val="center"/>
          </w:tcPr>
          <w:p>
            <w:pPr>
              <w:adjustRightInd w:val="0"/>
              <w:snapToGrid w:val="0"/>
              <w:spacing w:line="220" w:lineRule="atLeast"/>
              <w:jc w:val="center"/>
              <w:rPr>
                <w:rFonts w:ascii="宋体" w:hAnsi="宋体" w:eastAsia="宋体" w:cstheme="minorBidi"/>
                <w:kern w:val="2"/>
                <w:sz w:val="24"/>
                <w:szCs w:val="24"/>
                <w:lang w:val="en-US" w:eastAsia="zh-CN" w:bidi="ar-SA"/>
              </w:rPr>
            </w:pPr>
            <w:r>
              <w:rPr>
                <w:rFonts w:hint="eastAsia" w:ascii="宋体" w:hAnsi="宋体" w:eastAsia="宋体"/>
                <w:sz w:val="24"/>
                <w:szCs w:val="24"/>
              </w:rPr>
              <w:t>0</w:t>
            </w:r>
          </w:p>
        </w:tc>
        <w:tc>
          <w:tcPr>
            <w:tcW w:w="765" w:type="dxa"/>
            <w:tcBorders>
              <w:bottom w:val="single" w:color="auto" w:sz="4" w:space="0"/>
            </w:tcBorders>
            <w:vAlign w:val="center"/>
          </w:tcPr>
          <w:p>
            <w:pPr>
              <w:adjustRightInd w:val="0"/>
              <w:snapToGrid w:val="0"/>
              <w:spacing w:line="220" w:lineRule="atLeast"/>
              <w:jc w:val="center"/>
              <w:rPr>
                <w:rFonts w:ascii="宋体" w:hAnsi="宋体" w:eastAsia="宋体" w:cstheme="minorBidi"/>
                <w:kern w:val="2"/>
                <w:sz w:val="24"/>
                <w:szCs w:val="24"/>
                <w:lang w:val="en-US" w:eastAsia="zh-CN" w:bidi="ar-SA"/>
              </w:rPr>
            </w:pPr>
            <w:r>
              <w:rPr>
                <w:rFonts w:hint="eastAsia" w:ascii="宋体" w:hAnsi="宋体" w:eastAsia="宋体"/>
                <w:sz w:val="24"/>
                <w:szCs w:val="24"/>
              </w:rPr>
              <w:t>0</w:t>
            </w:r>
          </w:p>
        </w:tc>
        <w:tc>
          <w:tcPr>
            <w:tcW w:w="799" w:type="dxa"/>
            <w:tcBorders>
              <w:bottom w:val="single" w:color="auto" w:sz="4" w:space="0"/>
            </w:tcBorders>
            <w:vAlign w:val="center"/>
          </w:tcPr>
          <w:p>
            <w:pPr>
              <w:adjustRightInd w:val="0"/>
              <w:snapToGrid w:val="0"/>
              <w:spacing w:line="220" w:lineRule="atLeast"/>
              <w:jc w:val="center"/>
              <w:rPr>
                <w:rFonts w:ascii="宋体" w:hAnsi="宋体" w:eastAsia="宋体" w:cstheme="minorBidi"/>
                <w:kern w:val="2"/>
                <w:sz w:val="24"/>
                <w:szCs w:val="24"/>
                <w:lang w:val="en-US" w:eastAsia="zh-CN" w:bidi="ar-SA"/>
              </w:rPr>
            </w:pPr>
            <w:r>
              <w:rPr>
                <w:rFonts w:hint="eastAsia" w:ascii="宋体" w:hAnsi="宋体" w:eastAsia="宋体"/>
                <w:sz w:val="24"/>
                <w:szCs w:val="24"/>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rPr>
        <w:tc>
          <w:tcPr>
            <w:tcW w:w="921" w:type="dxa"/>
            <w:vMerge w:val="restart"/>
            <w:vAlign w:val="center"/>
          </w:tcPr>
          <w:p>
            <w:pPr>
              <w:spacing w:line="240" w:lineRule="atLeast"/>
              <w:jc w:val="center"/>
              <w:rPr>
                <w:rFonts w:hint="eastAsia" w:ascii="宋体" w:hAnsi="宋体" w:eastAsia="宋体" w:cs="宋体"/>
                <w:sz w:val="24"/>
                <w:szCs w:val="24"/>
                <w:lang w:eastAsia="zh-CN"/>
              </w:rPr>
            </w:pPr>
            <w:r>
              <w:rPr>
                <w:rFonts w:ascii="宋体" w:hAnsi="宋体" w:eastAsia="宋体"/>
                <w:sz w:val="24"/>
                <w:szCs w:val="24"/>
              </w:rPr>
              <w:t>201</w:t>
            </w:r>
            <w:r>
              <w:rPr>
                <w:rFonts w:hint="eastAsia" w:ascii="宋体" w:hAnsi="宋体" w:eastAsia="宋体"/>
                <w:sz w:val="24"/>
                <w:szCs w:val="24"/>
                <w:lang w:val="en-US" w:eastAsia="zh-CN"/>
              </w:rPr>
              <w:t>8</w:t>
            </w:r>
            <w:r>
              <w:rPr>
                <w:rFonts w:ascii="宋体" w:hAnsi="宋体" w:eastAsia="宋体"/>
                <w:sz w:val="24"/>
                <w:szCs w:val="24"/>
              </w:rPr>
              <w:t>～201</w:t>
            </w:r>
            <w:r>
              <w:rPr>
                <w:rFonts w:hint="eastAsia" w:ascii="宋体" w:hAnsi="宋体" w:eastAsia="宋体"/>
                <w:sz w:val="24"/>
                <w:szCs w:val="24"/>
                <w:lang w:val="en-US" w:eastAsia="zh-CN"/>
              </w:rPr>
              <w:t>9</w:t>
            </w:r>
          </w:p>
        </w:tc>
        <w:tc>
          <w:tcPr>
            <w:tcW w:w="1696" w:type="dxa"/>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中药（100802）</w:t>
            </w:r>
          </w:p>
        </w:tc>
        <w:tc>
          <w:tcPr>
            <w:tcW w:w="946"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81</w:t>
            </w:r>
          </w:p>
        </w:tc>
        <w:tc>
          <w:tcPr>
            <w:tcW w:w="750" w:type="dxa"/>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81</w:t>
            </w:r>
          </w:p>
        </w:tc>
        <w:tc>
          <w:tcPr>
            <w:tcW w:w="900" w:type="dxa"/>
            <w:vAlign w:val="center"/>
          </w:tcPr>
          <w:p>
            <w:pPr>
              <w:adjustRightInd w:val="0"/>
              <w:snapToGrid w:val="0"/>
              <w:spacing w:line="220" w:lineRule="atLeast"/>
              <w:jc w:val="center"/>
              <w:rPr>
                <w:rFonts w:ascii="宋体" w:hAnsi="宋体" w:eastAsia="宋体" w:cstheme="minorBidi"/>
                <w:kern w:val="2"/>
                <w:sz w:val="24"/>
                <w:szCs w:val="24"/>
                <w:lang w:val="en-US" w:eastAsia="zh-CN" w:bidi="ar-SA"/>
              </w:rPr>
            </w:pPr>
            <w:r>
              <w:rPr>
                <w:rFonts w:hint="eastAsia" w:ascii="宋体" w:hAnsi="宋体" w:eastAsia="宋体"/>
                <w:sz w:val="24"/>
                <w:szCs w:val="24"/>
              </w:rPr>
              <w:t>100</w:t>
            </w:r>
          </w:p>
        </w:tc>
        <w:tc>
          <w:tcPr>
            <w:tcW w:w="761"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74</w:t>
            </w:r>
          </w:p>
        </w:tc>
        <w:tc>
          <w:tcPr>
            <w:tcW w:w="900"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91</w:t>
            </w:r>
          </w:p>
        </w:tc>
        <w:tc>
          <w:tcPr>
            <w:tcW w:w="784" w:type="dxa"/>
            <w:vAlign w:val="center"/>
          </w:tcPr>
          <w:p>
            <w:pPr>
              <w:adjustRightInd w:val="0"/>
              <w:snapToGrid w:val="0"/>
              <w:spacing w:line="220" w:lineRule="atLeast"/>
              <w:jc w:val="center"/>
              <w:rPr>
                <w:rFonts w:ascii="宋体" w:hAnsi="宋体" w:eastAsia="宋体" w:cstheme="minorBidi"/>
                <w:kern w:val="2"/>
                <w:sz w:val="24"/>
                <w:szCs w:val="24"/>
                <w:lang w:val="en-US" w:eastAsia="zh-CN" w:bidi="ar-SA"/>
              </w:rPr>
            </w:pPr>
            <w:r>
              <w:rPr>
                <w:rFonts w:hint="eastAsia" w:ascii="宋体" w:hAnsi="宋体" w:eastAsia="宋体"/>
                <w:sz w:val="24"/>
                <w:szCs w:val="24"/>
              </w:rPr>
              <w:t>0</w:t>
            </w:r>
          </w:p>
        </w:tc>
        <w:tc>
          <w:tcPr>
            <w:tcW w:w="765" w:type="dxa"/>
            <w:vAlign w:val="center"/>
          </w:tcPr>
          <w:p>
            <w:pPr>
              <w:adjustRightInd w:val="0"/>
              <w:snapToGrid w:val="0"/>
              <w:spacing w:line="220" w:lineRule="atLeast"/>
              <w:jc w:val="center"/>
              <w:rPr>
                <w:rFonts w:ascii="宋体" w:hAnsi="宋体" w:eastAsia="宋体" w:cstheme="minorBidi"/>
                <w:kern w:val="2"/>
                <w:sz w:val="24"/>
                <w:szCs w:val="24"/>
                <w:lang w:val="en-US" w:eastAsia="zh-CN" w:bidi="ar-SA"/>
              </w:rPr>
            </w:pPr>
            <w:r>
              <w:rPr>
                <w:rFonts w:hint="eastAsia" w:ascii="宋体" w:hAnsi="宋体" w:eastAsia="宋体"/>
                <w:sz w:val="24"/>
                <w:szCs w:val="24"/>
              </w:rPr>
              <w:t>0</w:t>
            </w:r>
          </w:p>
        </w:tc>
        <w:tc>
          <w:tcPr>
            <w:tcW w:w="799"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trPr>
        <w:tc>
          <w:tcPr>
            <w:tcW w:w="921" w:type="dxa"/>
            <w:vMerge w:val="continue"/>
            <w:vAlign w:val="center"/>
          </w:tcPr>
          <w:p>
            <w:pPr>
              <w:spacing w:line="240" w:lineRule="atLeast"/>
              <w:jc w:val="center"/>
              <w:rPr>
                <w:rFonts w:ascii="宋体" w:hAnsi="宋体" w:eastAsia="宋体"/>
                <w:sz w:val="24"/>
                <w:szCs w:val="24"/>
              </w:rPr>
            </w:pPr>
          </w:p>
        </w:tc>
        <w:tc>
          <w:tcPr>
            <w:tcW w:w="1696" w:type="dxa"/>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药剂（100803）</w:t>
            </w:r>
          </w:p>
        </w:tc>
        <w:tc>
          <w:tcPr>
            <w:tcW w:w="946"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249</w:t>
            </w:r>
          </w:p>
        </w:tc>
        <w:tc>
          <w:tcPr>
            <w:tcW w:w="750" w:type="dxa"/>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249</w:t>
            </w:r>
          </w:p>
        </w:tc>
        <w:tc>
          <w:tcPr>
            <w:tcW w:w="900" w:type="dxa"/>
            <w:vAlign w:val="center"/>
          </w:tcPr>
          <w:p>
            <w:pPr>
              <w:adjustRightInd w:val="0"/>
              <w:snapToGrid w:val="0"/>
              <w:spacing w:line="220" w:lineRule="atLeast"/>
              <w:jc w:val="center"/>
              <w:rPr>
                <w:rFonts w:ascii="宋体" w:hAnsi="宋体" w:eastAsia="宋体" w:cstheme="minorBidi"/>
                <w:kern w:val="2"/>
                <w:sz w:val="24"/>
                <w:szCs w:val="24"/>
                <w:lang w:val="en-US" w:eastAsia="zh-CN" w:bidi="ar-SA"/>
              </w:rPr>
            </w:pPr>
            <w:r>
              <w:rPr>
                <w:rFonts w:hint="eastAsia" w:ascii="宋体" w:hAnsi="宋体" w:eastAsia="宋体"/>
                <w:sz w:val="24"/>
                <w:szCs w:val="24"/>
              </w:rPr>
              <w:t>100</w:t>
            </w:r>
          </w:p>
        </w:tc>
        <w:tc>
          <w:tcPr>
            <w:tcW w:w="761"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229</w:t>
            </w:r>
          </w:p>
        </w:tc>
        <w:tc>
          <w:tcPr>
            <w:tcW w:w="900"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92</w:t>
            </w:r>
          </w:p>
        </w:tc>
        <w:tc>
          <w:tcPr>
            <w:tcW w:w="784" w:type="dxa"/>
            <w:vAlign w:val="center"/>
          </w:tcPr>
          <w:p>
            <w:pPr>
              <w:adjustRightInd w:val="0"/>
              <w:snapToGrid w:val="0"/>
              <w:spacing w:line="220" w:lineRule="atLeast"/>
              <w:jc w:val="center"/>
              <w:rPr>
                <w:rFonts w:ascii="宋体" w:hAnsi="宋体" w:eastAsia="宋体" w:cstheme="minorBidi"/>
                <w:kern w:val="2"/>
                <w:sz w:val="24"/>
                <w:szCs w:val="24"/>
                <w:lang w:val="en-US" w:eastAsia="zh-CN" w:bidi="ar-SA"/>
              </w:rPr>
            </w:pPr>
            <w:r>
              <w:rPr>
                <w:rFonts w:hint="eastAsia" w:ascii="宋体" w:hAnsi="宋体" w:eastAsia="宋体"/>
                <w:sz w:val="24"/>
                <w:szCs w:val="24"/>
              </w:rPr>
              <w:t>0</w:t>
            </w:r>
          </w:p>
        </w:tc>
        <w:tc>
          <w:tcPr>
            <w:tcW w:w="765" w:type="dxa"/>
            <w:vAlign w:val="center"/>
          </w:tcPr>
          <w:p>
            <w:pPr>
              <w:adjustRightInd w:val="0"/>
              <w:snapToGrid w:val="0"/>
              <w:spacing w:line="220" w:lineRule="atLeast"/>
              <w:jc w:val="center"/>
              <w:rPr>
                <w:rFonts w:ascii="宋体" w:hAnsi="宋体" w:eastAsia="宋体" w:cstheme="minorBidi"/>
                <w:kern w:val="2"/>
                <w:sz w:val="24"/>
                <w:szCs w:val="24"/>
                <w:lang w:val="en-US" w:eastAsia="zh-CN" w:bidi="ar-SA"/>
              </w:rPr>
            </w:pPr>
            <w:r>
              <w:rPr>
                <w:rFonts w:hint="eastAsia" w:ascii="宋体" w:hAnsi="宋体" w:eastAsia="宋体"/>
                <w:sz w:val="24"/>
                <w:szCs w:val="24"/>
              </w:rPr>
              <w:t>0</w:t>
            </w:r>
          </w:p>
        </w:tc>
        <w:tc>
          <w:tcPr>
            <w:tcW w:w="799"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2400</w:t>
            </w:r>
          </w:p>
        </w:tc>
      </w:tr>
    </w:tbl>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备注：按教育部《中等职业学校专业目录（2010年）》专业大类代码从小到达大依次填报。</w:t>
      </w:r>
      <w:r>
        <w:rPr>
          <w:rFonts w:ascii="宋体" w:hAnsi="宋体" w:eastAsia="宋体" w:cs="宋体"/>
          <w:kern w:val="0"/>
          <w:sz w:val="24"/>
          <w:szCs w:val="24"/>
        </w:rPr>
        <w:br w:type="textWrapping"/>
      </w:r>
      <w:r>
        <w:rPr>
          <w:rFonts w:ascii="宋体" w:hAnsi="宋体" w:eastAsia="宋体" w:cs="宋体"/>
          <w:kern w:val="0"/>
          <w:sz w:val="24"/>
          <w:szCs w:val="24"/>
        </w:rPr>
        <w:t>2.5职业发展。</w:t>
      </w:r>
    </w:p>
    <w:p>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通过对毕业生的调查走访，我校201</w:t>
      </w:r>
      <w:r>
        <w:rPr>
          <w:rFonts w:hint="eastAsia" w:ascii="宋体" w:hAnsi="宋体" w:eastAsia="宋体" w:cs="宋体"/>
          <w:kern w:val="0"/>
          <w:sz w:val="24"/>
          <w:szCs w:val="24"/>
          <w:lang w:val="en-US" w:eastAsia="zh-CN"/>
        </w:rPr>
        <w:t>9</w:t>
      </w:r>
      <w:r>
        <w:rPr>
          <w:rFonts w:ascii="宋体" w:hAnsi="宋体" w:eastAsia="宋体" w:cs="宋体"/>
          <w:kern w:val="0"/>
          <w:sz w:val="24"/>
          <w:szCs w:val="24"/>
        </w:rPr>
        <w:t>年毕业生学习能力有提升的比例为7</w:t>
      </w:r>
      <w:r>
        <w:rPr>
          <w:rFonts w:hint="eastAsia" w:ascii="宋体" w:hAnsi="宋体" w:eastAsia="宋体" w:cs="宋体"/>
          <w:kern w:val="0"/>
          <w:sz w:val="24"/>
          <w:szCs w:val="24"/>
          <w:lang w:val="en-US" w:eastAsia="zh-CN"/>
        </w:rPr>
        <w:t>8</w:t>
      </w:r>
      <w:r>
        <w:rPr>
          <w:rFonts w:ascii="宋体" w:hAnsi="宋体" w:eastAsia="宋体" w:cs="宋体"/>
          <w:kern w:val="0"/>
          <w:sz w:val="24"/>
          <w:szCs w:val="24"/>
        </w:rPr>
        <w:t>%、岗位适应能力有提升的比例为</w:t>
      </w:r>
      <w:r>
        <w:rPr>
          <w:rFonts w:hint="eastAsia" w:ascii="宋体" w:hAnsi="宋体" w:eastAsia="宋体" w:cs="宋体"/>
          <w:kern w:val="0"/>
          <w:sz w:val="24"/>
          <w:szCs w:val="24"/>
        </w:rPr>
        <w:t>7</w:t>
      </w:r>
      <w:r>
        <w:rPr>
          <w:rFonts w:hint="eastAsia" w:ascii="宋体" w:hAnsi="宋体" w:eastAsia="宋体" w:cs="宋体"/>
          <w:kern w:val="0"/>
          <w:sz w:val="24"/>
          <w:szCs w:val="24"/>
          <w:lang w:val="en-US" w:eastAsia="zh-CN"/>
        </w:rPr>
        <w:t>9</w:t>
      </w:r>
      <w:r>
        <w:rPr>
          <w:rFonts w:ascii="宋体" w:hAnsi="宋体" w:eastAsia="宋体" w:cs="宋体"/>
          <w:kern w:val="0"/>
          <w:sz w:val="24"/>
          <w:szCs w:val="24"/>
        </w:rPr>
        <w:t>%、岗位迁移能力有提升的比例为</w:t>
      </w:r>
      <w:r>
        <w:rPr>
          <w:rFonts w:hint="eastAsia" w:ascii="宋体" w:hAnsi="宋体" w:eastAsia="宋体" w:cs="宋体"/>
          <w:kern w:val="0"/>
          <w:sz w:val="24"/>
          <w:szCs w:val="24"/>
        </w:rPr>
        <w:t>6</w:t>
      </w:r>
      <w:r>
        <w:rPr>
          <w:rFonts w:hint="eastAsia" w:ascii="宋体" w:hAnsi="宋体" w:eastAsia="宋体" w:cs="宋体"/>
          <w:kern w:val="0"/>
          <w:sz w:val="24"/>
          <w:szCs w:val="24"/>
          <w:lang w:val="en-US" w:eastAsia="zh-CN"/>
        </w:rPr>
        <w:t>2</w:t>
      </w:r>
      <w:r>
        <w:rPr>
          <w:rFonts w:ascii="宋体" w:hAnsi="宋体" w:eastAsia="宋体" w:cs="宋体"/>
          <w:kern w:val="0"/>
          <w:sz w:val="24"/>
          <w:szCs w:val="24"/>
        </w:rPr>
        <w:t>%、创新创业能力有提升的比例为</w:t>
      </w: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4</w:t>
      </w:r>
      <w:r>
        <w:rPr>
          <w:rFonts w:ascii="宋体" w:hAnsi="宋体" w:eastAsia="宋体" w:cs="宋体"/>
          <w:kern w:val="0"/>
          <w:sz w:val="24"/>
          <w:szCs w:val="24"/>
        </w:rPr>
        <w:t>%。学生能力不断提高，能较好的适应行业企业岗位需求。</w:t>
      </w:r>
      <w:r>
        <w:rPr>
          <w:rFonts w:ascii="宋体" w:hAnsi="宋体" w:eastAsia="宋体" w:cs="宋体"/>
          <w:kern w:val="0"/>
          <w:sz w:val="24"/>
          <w:szCs w:val="24"/>
        </w:rPr>
        <w:br w:type="textWrapping"/>
      </w:r>
      <w:r>
        <w:rPr>
          <w:rFonts w:ascii="宋体" w:hAnsi="宋体" w:eastAsia="宋体" w:cs="宋体"/>
          <w:kern w:val="0"/>
          <w:sz w:val="24"/>
          <w:szCs w:val="24"/>
        </w:rPr>
        <w:t>表2-5 近两学年中等职业学校学生职业发展情况一览表</w:t>
      </w:r>
    </w:p>
    <w:tbl>
      <w:tblPr>
        <w:tblStyle w:val="5"/>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900"/>
        <w:gridCol w:w="900"/>
        <w:gridCol w:w="960"/>
        <w:gridCol w:w="927"/>
        <w:gridCol w:w="886"/>
        <w:gridCol w:w="979"/>
        <w:gridCol w:w="988"/>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1451" w:type="dxa"/>
            <w:vMerge w:val="restart"/>
            <w:vAlign w:val="center"/>
          </w:tcPr>
          <w:p>
            <w:pPr>
              <w:adjustRightInd w:val="0"/>
              <w:snapToGrid w:val="0"/>
              <w:spacing w:line="240" w:lineRule="exact"/>
              <w:jc w:val="center"/>
              <w:rPr>
                <w:rFonts w:ascii="宋体" w:hAnsi="宋体" w:eastAsia="宋体"/>
                <w:bCs/>
                <w:sz w:val="24"/>
                <w:szCs w:val="24"/>
              </w:rPr>
            </w:pPr>
            <w:r>
              <w:rPr>
                <w:rFonts w:hint="eastAsia" w:ascii="宋体" w:hAnsi="宋体" w:eastAsia="宋体"/>
                <w:bCs/>
                <w:sz w:val="24"/>
                <w:szCs w:val="24"/>
              </w:rPr>
              <w:t>年度</w:t>
            </w:r>
          </w:p>
        </w:tc>
        <w:tc>
          <w:tcPr>
            <w:tcW w:w="1800" w:type="dxa"/>
            <w:gridSpan w:val="2"/>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学习能力有提升</w:t>
            </w:r>
          </w:p>
        </w:tc>
        <w:tc>
          <w:tcPr>
            <w:tcW w:w="1887" w:type="dxa"/>
            <w:gridSpan w:val="2"/>
            <w:vAlign w:val="center"/>
          </w:tcPr>
          <w:p>
            <w:pPr>
              <w:adjustRightInd w:val="0"/>
              <w:snapToGrid w:val="0"/>
              <w:spacing w:line="240" w:lineRule="exact"/>
              <w:jc w:val="center"/>
              <w:rPr>
                <w:rFonts w:ascii="宋体" w:hAnsi="宋体" w:eastAsia="宋体"/>
                <w:bCs/>
                <w:sz w:val="24"/>
                <w:szCs w:val="24"/>
              </w:rPr>
            </w:pPr>
            <w:r>
              <w:rPr>
                <w:rFonts w:hint="eastAsia" w:ascii="宋体" w:hAnsi="宋体" w:eastAsia="宋体"/>
                <w:bCs/>
                <w:sz w:val="24"/>
                <w:szCs w:val="24"/>
              </w:rPr>
              <w:t>岗位适应能力有提升</w:t>
            </w:r>
          </w:p>
        </w:tc>
        <w:tc>
          <w:tcPr>
            <w:tcW w:w="1865" w:type="dxa"/>
            <w:gridSpan w:val="2"/>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岗位迁移能力有提升</w:t>
            </w:r>
          </w:p>
        </w:tc>
        <w:tc>
          <w:tcPr>
            <w:tcW w:w="1982" w:type="dxa"/>
            <w:gridSpan w:val="2"/>
            <w:vAlign w:val="center"/>
          </w:tcPr>
          <w:p>
            <w:pPr>
              <w:adjustRightInd w:val="0"/>
              <w:snapToGrid w:val="0"/>
              <w:spacing w:line="240" w:lineRule="exact"/>
              <w:jc w:val="center"/>
              <w:rPr>
                <w:rFonts w:ascii="宋体" w:hAnsi="宋体" w:eastAsia="宋体"/>
                <w:bCs/>
                <w:sz w:val="24"/>
                <w:szCs w:val="24"/>
              </w:rPr>
            </w:pPr>
            <w:r>
              <w:rPr>
                <w:rFonts w:hint="eastAsia" w:ascii="宋体" w:hAnsi="宋体" w:eastAsia="宋体"/>
                <w:bCs/>
                <w:sz w:val="24"/>
                <w:szCs w:val="24"/>
              </w:rPr>
              <w:t>创新创业能力有提升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1451" w:type="dxa"/>
            <w:vMerge w:val="continue"/>
            <w:vAlign w:val="center"/>
          </w:tcPr>
          <w:p>
            <w:pPr>
              <w:adjustRightInd w:val="0"/>
              <w:snapToGrid w:val="0"/>
              <w:spacing w:line="240" w:lineRule="exact"/>
              <w:jc w:val="center"/>
              <w:rPr>
                <w:rFonts w:hint="eastAsia" w:ascii="宋体" w:hAnsi="宋体" w:eastAsia="宋体"/>
                <w:bCs/>
                <w:sz w:val="24"/>
                <w:szCs w:val="24"/>
              </w:rPr>
            </w:pPr>
          </w:p>
        </w:tc>
        <w:tc>
          <w:tcPr>
            <w:tcW w:w="900"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人数</w:t>
            </w:r>
          </w:p>
        </w:tc>
        <w:tc>
          <w:tcPr>
            <w:tcW w:w="900"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比例（%）</w:t>
            </w:r>
          </w:p>
        </w:tc>
        <w:tc>
          <w:tcPr>
            <w:tcW w:w="960"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人数</w:t>
            </w:r>
          </w:p>
        </w:tc>
        <w:tc>
          <w:tcPr>
            <w:tcW w:w="927"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比例（</w:t>
            </w:r>
            <w:r>
              <w:rPr>
                <w:rFonts w:ascii="宋体" w:hAnsi="宋体" w:eastAsia="宋体"/>
                <w:bCs/>
                <w:sz w:val="24"/>
                <w:szCs w:val="24"/>
              </w:rPr>
              <w:t>%</w:t>
            </w:r>
            <w:r>
              <w:rPr>
                <w:rFonts w:hint="eastAsia" w:ascii="宋体" w:hAnsi="宋体" w:eastAsia="宋体"/>
                <w:bCs/>
                <w:sz w:val="24"/>
                <w:szCs w:val="24"/>
              </w:rPr>
              <w:t>）</w:t>
            </w:r>
          </w:p>
        </w:tc>
        <w:tc>
          <w:tcPr>
            <w:tcW w:w="886"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人数</w:t>
            </w:r>
          </w:p>
        </w:tc>
        <w:tc>
          <w:tcPr>
            <w:tcW w:w="979"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比例（</w:t>
            </w:r>
            <w:r>
              <w:rPr>
                <w:rFonts w:ascii="宋体" w:hAnsi="宋体" w:eastAsia="宋体"/>
                <w:bCs/>
                <w:sz w:val="24"/>
                <w:szCs w:val="24"/>
              </w:rPr>
              <w:t>%</w:t>
            </w:r>
            <w:r>
              <w:rPr>
                <w:rFonts w:hint="eastAsia" w:ascii="宋体" w:hAnsi="宋体" w:eastAsia="宋体"/>
                <w:bCs/>
                <w:sz w:val="24"/>
                <w:szCs w:val="24"/>
              </w:rPr>
              <w:t>）</w:t>
            </w:r>
          </w:p>
        </w:tc>
        <w:tc>
          <w:tcPr>
            <w:tcW w:w="988"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人数</w:t>
            </w:r>
          </w:p>
        </w:tc>
        <w:tc>
          <w:tcPr>
            <w:tcW w:w="994"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51" w:type="dxa"/>
            <w:tcBorders>
              <w:bottom w:val="single" w:color="auto" w:sz="4" w:space="0"/>
            </w:tcBorders>
            <w:vAlign w:val="center"/>
          </w:tcPr>
          <w:p>
            <w:pPr>
              <w:spacing w:line="240" w:lineRule="atLeast"/>
              <w:jc w:val="center"/>
              <w:rPr>
                <w:rFonts w:hint="eastAsia" w:ascii="宋体" w:hAnsi="宋体" w:eastAsia="宋体" w:cs="宋体"/>
                <w:sz w:val="24"/>
                <w:szCs w:val="24"/>
                <w:lang w:eastAsia="zh-CN"/>
              </w:rPr>
            </w:pPr>
            <w:r>
              <w:rPr>
                <w:rFonts w:ascii="宋体" w:hAnsi="宋体" w:eastAsia="宋体"/>
                <w:sz w:val="24"/>
                <w:szCs w:val="24"/>
              </w:rPr>
              <w:t>201</w:t>
            </w:r>
            <w:r>
              <w:rPr>
                <w:rFonts w:hint="eastAsia" w:ascii="宋体" w:hAnsi="宋体" w:eastAsia="宋体"/>
                <w:sz w:val="24"/>
                <w:szCs w:val="24"/>
                <w:lang w:val="en-US" w:eastAsia="zh-CN"/>
              </w:rPr>
              <w:t>7</w:t>
            </w:r>
            <w:r>
              <w:rPr>
                <w:rFonts w:ascii="宋体" w:hAnsi="宋体" w:eastAsia="宋体"/>
                <w:sz w:val="24"/>
                <w:szCs w:val="24"/>
              </w:rPr>
              <w:t>～201</w:t>
            </w:r>
            <w:r>
              <w:rPr>
                <w:rFonts w:hint="eastAsia" w:ascii="宋体" w:hAnsi="宋体" w:eastAsia="宋体"/>
                <w:sz w:val="24"/>
                <w:szCs w:val="24"/>
                <w:lang w:val="en-US" w:eastAsia="zh-CN"/>
              </w:rPr>
              <w:t>8</w:t>
            </w:r>
          </w:p>
        </w:tc>
        <w:tc>
          <w:tcPr>
            <w:tcW w:w="900" w:type="dxa"/>
            <w:tcBorders>
              <w:bottom w:val="single" w:color="auto" w:sz="4" w:space="0"/>
            </w:tcBorders>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895</w:t>
            </w:r>
          </w:p>
        </w:tc>
        <w:tc>
          <w:tcPr>
            <w:tcW w:w="900" w:type="dxa"/>
            <w:tcBorders>
              <w:bottom w:val="single" w:color="auto" w:sz="4" w:space="0"/>
            </w:tcBorders>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76</w:t>
            </w:r>
          </w:p>
        </w:tc>
        <w:tc>
          <w:tcPr>
            <w:tcW w:w="960" w:type="dxa"/>
            <w:tcBorders>
              <w:bottom w:val="single" w:color="auto" w:sz="4" w:space="0"/>
            </w:tcBorders>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927</w:t>
            </w:r>
          </w:p>
        </w:tc>
        <w:tc>
          <w:tcPr>
            <w:tcW w:w="927" w:type="dxa"/>
            <w:tcBorders>
              <w:bottom w:val="single" w:color="auto" w:sz="4" w:space="0"/>
            </w:tcBorders>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78</w:t>
            </w:r>
          </w:p>
        </w:tc>
        <w:tc>
          <w:tcPr>
            <w:tcW w:w="886" w:type="dxa"/>
            <w:tcBorders>
              <w:bottom w:val="single" w:color="auto" w:sz="4" w:space="0"/>
            </w:tcBorders>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705</w:t>
            </w:r>
          </w:p>
        </w:tc>
        <w:tc>
          <w:tcPr>
            <w:tcW w:w="979" w:type="dxa"/>
            <w:tcBorders>
              <w:bottom w:val="single" w:color="auto" w:sz="4" w:space="0"/>
            </w:tcBorders>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60</w:t>
            </w:r>
          </w:p>
        </w:tc>
        <w:tc>
          <w:tcPr>
            <w:tcW w:w="988" w:type="dxa"/>
            <w:tcBorders>
              <w:bottom w:val="single" w:color="auto" w:sz="4" w:space="0"/>
            </w:tcBorders>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1</w:t>
            </w:r>
            <w:r>
              <w:rPr>
                <w:rFonts w:ascii="宋体" w:hAnsi="宋体" w:eastAsia="宋体"/>
                <w:sz w:val="24"/>
                <w:szCs w:val="24"/>
              </w:rPr>
              <w:t>55</w:t>
            </w:r>
          </w:p>
        </w:tc>
        <w:tc>
          <w:tcPr>
            <w:tcW w:w="994" w:type="dxa"/>
            <w:tcBorders>
              <w:bottom w:val="single" w:color="auto" w:sz="4" w:space="0"/>
            </w:tcBorders>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51" w:type="dxa"/>
            <w:vAlign w:val="center"/>
          </w:tcPr>
          <w:p>
            <w:pPr>
              <w:spacing w:line="240" w:lineRule="atLeast"/>
              <w:jc w:val="center"/>
              <w:rPr>
                <w:rFonts w:hint="eastAsia" w:ascii="宋体" w:hAnsi="宋体" w:eastAsia="宋体" w:cs="宋体"/>
                <w:sz w:val="24"/>
                <w:szCs w:val="24"/>
                <w:lang w:eastAsia="zh-CN"/>
              </w:rPr>
            </w:pPr>
            <w:r>
              <w:rPr>
                <w:rFonts w:ascii="宋体" w:hAnsi="宋体" w:eastAsia="宋体"/>
                <w:sz w:val="24"/>
                <w:szCs w:val="24"/>
              </w:rPr>
              <w:t>201</w:t>
            </w:r>
            <w:r>
              <w:rPr>
                <w:rFonts w:hint="eastAsia" w:ascii="宋体" w:hAnsi="宋体" w:eastAsia="宋体"/>
                <w:sz w:val="24"/>
                <w:szCs w:val="24"/>
                <w:lang w:val="en-US" w:eastAsia="zh-CN"/>
              </w:rPr>
              <w:t>8</w:t>
            </w:r>
            <w:r>
              <w:rPr>
                <w:rFonts w:ascii="宋体" w:hAnsi="宋体" w:eastAsia="宋体"/>
                <w:sz w:val="24"/>
                <w:szCs w:val="24"/>
              </w:rPr>
              <w:t>～201</w:t>
            </w:r>
            <w:r>
              <w:rPr>
                <w:rFonts w:hint="eastAsia" w:ascii="宋体" w:hAnsi="宋体" w:eastAsia="宋体"/>
                <w:sz w:val="24"/>
                <w:szCs w:val="24"/>
                <w:lang w:val="en-US" w:eastAsia="zh-CN"/>
              </w:rPr>
              <w:t>9</w:t>
            </w:r>
          </w:p>
        </w:tc>
        <w:tc>
          <w:tcPr>
            <w:tcW w:w="900"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992</w:t>
            </w:r>
          </w:p>
        </w:tc>
        <w:tc>
          <w:tcPr>
            <w:tcW w:w="900"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78</w:t>
            </w:r>
          </w:p>
        </w:tc>
        <w:tc>
          <w:tcPr>
            <w:tcW w:w="960"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1005</w:t>
            </w:r>
          </w:p>
        </w:tc>
        <w:tc>
          <w:tcPr>
            <w:tcW w:w="927"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79</w:t>
            </w:r>
          </w:p>
        </w:tc>
        <w:tc>
          <w:tcPr>
            <w:tcW w:w="886"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789</w:t>
            </w:r>
          </w:p>
        </w:tc>
        <w:tc>
          <w:tcPr>
            <w:tcW w:w="979"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62</w:t>
            </w:r>
          </w:p>
        </w:tc>
        <w:tc>
          <w:tcPr>
            <w:tcW w:w="988"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178</w:t>
            </w:r>
          </w:p>
        </w:tc>
        <w:tc>
          <w:tcPr>
            <w:tcW w:w="994"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14</w:t>
            </w:r>
          </w:p>
        </w:tc>
      </w:tr>
    </w:tbl>
    <w:p>
      <w:pPr>
        <w:widowControl/>
        <w:jc w:val="left"/>
        <w:rPr>
          <w:rFonts w:ascii="宋体" w:hAnsi="宋体" w:eastAsia="宋体" w:cs="宋体"/>
          <w:kern w:val="0"/>
          <w:sz w:val="24"/>
          <w:szCs w:val="24"/>
        </w:rPr>
      </w:pPr>
      <w:r>
        <w:rPr>
          <w:rFonts w:ascii="宋体" w:hAnsi="宋体" w:eastAsia="宋体" w:cs="宋体"/>
          <w:kern w:val="0"/>
          <w:sz w:val="24"/>
          <w:szCs w:val="24"/>
        </w:rPr>
        <w:t> </w:t>
      </w:r>
    </w:p>
    <w:p>
      <w:pPr>
        <w:rPr>
          <w:rFonts w:ascii="宋体" w:hAnsi="宋体" w:eastAsia="宋体" w:cs="宋体"/>
          <w:kern w:val="0"/>
          <w:sz w:val="24"/>
          <w:szCs w:val="24"/>
        </w:rPr>
      </w:pPr>
      <w:r>
        <w:rPr>
          <w:rFonts w:ascii="宋体" w:hAnsi="宋体" w:eastAsia="宋体" w:cs="宋体"/>
          <w:kern w:val="0"/>
          <w:sz w:val="24"/>
          <w:szCs w:val="24"/>
        </w:rPr>
        <w:t>3.质量保障措施</w:t>
      </w:r>
      <w:r>
        <w:rPr>
          <w:rFonts w:ascii="宋体" w:hAnsi="宋体" w:eastAsia="宋体" w:cs="宋体"/>
          <w:kern w:val="0"/>
          <w:sz w:val="24"/>
          <w:szCs w:val="24"/>
        </w:rPr>
        <w:br w:type="textWrapping"/>
      </w:r>
      <w:r>
        <w:rPr>
          <w:rFonts w:ascii="宋体" w:hAnsi="宋体" w:eastAsia="宋体" w:cs="宋体"/>
          <w:kern w:val="0"/>
          <w:sz w:val="24"/>
          <w:szCs w:val="24"/>
        </w:rPr>
        <w:t>3.1专业动态调整。</w:t>
      </w:r>
      <w:r>
        <w:rPr>
          <w:rFonts w:ascii="宋体" w:hAnsi="宋体" w:eastAsia="宋体" w:cs="宋体"/>
          <w:kern w:val="0"/>
          <w:sz w:val="24"/>
          <w:szCs w:val="24"/>
        </w:rPr>
        <w:br w:type="textWrapping"/>
      </w:r>
      <w:r>
        <w:rPr>
          <w:rFonts w:ascii="宋体" w:hAnsi="宋体" w:eastAsia="宋体" w:cs="宋体"/>
          <w:kern w:val="0"/>
          <w:sz w:val="24"/>
          <w:szCs w:val="24"/>
        </w:rPr>
        <w:t>3.1.1我校认真制定专业建设规划，面向社会，进一步建立健全教研组，推进专业现代化建设，优化构建和发展专业群，</w:t>
      </w:r>
      <w:r>
        <w:rPr>
          <w:rFonts w:hint="eastAsia" w:ascii="宋体" w:hAnsi="宋体" w:eastAsia="宋体" w:cs="宋体"/>
          <w:kern w:val="0"/>
          <w:sz w:val="24"/>
          <w:szCs w:val="24"/>
        </w:rPr>
        <w:t>药剂</w:t>
      </w:r>
      <w:r>
        <w:rPr>
          <w:rFonts w:ascii="宋体" w:hAnsi="宋体" w:eastAsia="宋体" w:cs="宋体"/>
          <w:kern w:val="0"/>
          <w:sz w:val="24"/>
          <w:szCs w:val="24"/>
        </w:rPr>
        <w:t>专业和</w:t>
      </w:r>
      <w:r>
        <w:rPr>
          <w:rFonts w:hint="eastAsia" w:ascii="宋体" w:hAnsi="宋体" w:eastAsia="宋体" w:cs="宋体"/>
          <w:kern w:val="0"/>
          <w:sz w:val="24"/>
          <w:szCs w:val="24"/>
        </w:rPr>
        <w:t>中药</w:t>
      </w:r>
      <w:r>
        <w:rPr>
          <w:rFonts w:ascii="宋体" w:hAnsi="宋体" w:eastAsia="宋体" w:cs="宋体"/>
          <w:kern w:val="0"/>
          <w:sz w:val="24"/>
          <w:szCs w:val="24"/>
        </w:rPr>
        <w:t>专业为省级重点专业。学校积极应对市场产业结构调整变化，科学设置专业，不断优化课程结构，致力于优化传统专业，做强主干专业，发展新兴专业，打造品牌专业。</w:t>
      </w:r>
    </w:p>
    <w:p>
      <w:pPr>
        <w:rPr>
          <w:rFonts w:ascii="宋体" w:hAnsi="宋体" w:eastAsia="宋体" w:cs="宋体"/>
          <w:kern w:val="0"/>
          <w:sz w:val="24"/>
          <w:szCs w:val="24"/>
        </w:rPr>
      </w:pPr>
      <w:r>
        <w:rPr>
          <w:rFonts w:ascii="宋体" w:hAnsi="宋体" w:eastAsia="宋体" w:cs="宋体"/>
          <w:kern w:val="0"/>
          <w:sz w:val="24"/>
          <w:szCs w:val="24"/>
        </w:rPr>
        <w:t>3.1.2学校科学定位人才培养目标，通过对学生进行素养和职业岗位技能训练，提高人才培养质量。以技能大赛为引领，将技能大赛的训练模式和专业前沿技术嵌入到人才培养全过程中，以点带面，面对全体同学生，全面提高学生技能水平。</w:t>
      </w:r>
      <w:r>
        <w:rPr>
          <w:rFonts w:ascii="宋体" w:hAnsi="宋体" w:eastAsia="宋体" w:cs="宋体"/>
          <w:kern w:val="0"/>
          <w:sz w:val="24"/>
          <w:szCs w:val="24"/>
        </w:rPr>
        <w:br w:type="textWrapping"/>
      </w:r>
      <w:r>
        <w:rPr>
          <w:rFonts w:ascii="宋体" w:hAnsi="宋体" w:eastAsia="宋体" w:cs="宋体"/>
          <w:kern w:val="0"/>
          <w:sz w:val="24"/>
          <w:szCs w:val="24"/>
        </w:rPr>
        <w:t>3.2教育教学改革。</w:t>
      </w:r>
      <w:r>
        <w:rPr>
          <w:rFonts w:ascii="宋体" w:hAnsi="宋体" w:eastAsia="宋体" w:cs="宋体"/>
          <w:kern w:val="0"/>
          <w:sz w:val="24"/>
          <w:szCs w:val="24"/>
        </w:rPr>
        <w:br w:type="textWrapping"/>
      </w:r>
      <w:r>
        <w:rPr>
          <w:rFonts w:ascii="宋体" w:hAnsi="宋体" w:eastAsia="宋体" w:cs="宋体"/>
          <w:kern w:val="0"/>
          <w:sz w:val="24"/>
          <w:szCs w:val="24"/>
        </w:rPr>
        <w:t>3.2.1课程改革。三年制学生，前四学期分别开设《职业生涯规划》、《</w:t>
      </w:r>
      <w:r>
        <w:rPr>
          <w:rFonts w:hint="eastAsia" w:ascii="宋体" w:hAnsi="宋体" w:eastAsia="宋体" w:cs="宋体"/>
          <w:kern w:val="0"/>
          <w:sz w:val="24"/>
          <w:szCs w:val="24"/>
        </w:rPr>
        <w:t>心理健康</w:t>
      </w:r>
      <w:r>
        <w:rPr>
          <w:rFonts w:ascii="宋体" w:hAnsi="宋体" w:eastAsia="宋体" w:cs="宋体"/>
          <w:kern w:val="0"/>
          <w:sz w:val="24"/>
          <w:szCs w:val="24"/>
        </w:rPr>
        <w:t>》、《</w:t>
      </w:r>
      <w:r>
        <w:rPr>
          <w:rFonts w:hint="eastAsia" w:ascii="宋体" w:hAnsi="宋体" w:eastAsia="宋体" w:cs="宋体"/>
          <w:kern w:val="0"/>
          <w:sz w:val="24"/>
          <w:szCs w:val="24"/>
        </w:rPr>
        <w:t>语文</w:t>
      </w:r>
      <w:r>
        <w:rPr>
          <w:rFonts w:ascii="宋体" w:hAnsi="宋体" w:eastAsia="宋体" w:cs="宋体"/>
          <w:kern w:val="0"/>
          <w:sz w:val="24"/>
          <w:szCs w:val="24"/>
        </w:rPr>
        <w:t>》、《</w:t>
      </w:r>
      <w:r>
        <w:rPr>
          <w:rFonts w:hint="eastAsia" w:ascii="宋体" w:hAnsi="宋体" w:eastAsia="宋体" w:cs="宋体"/>
          <w:kern w:val="0"/>
          <w:sz w:val="24"/>
          <w:szCs w:val="24"/>
        </w:rPr>
        <w:t>计算机</w:t>
      </w:r>
      <w:r>
        <w:rPr>
          <w:rFonts w:ascii="宋体" w:hAnsi="宋体" w:eastAsia="宋体" w:cs="宋体"/>
          <w:kern w:val="0"/>
          <w:sz w:val="24"/>
          <w:szCs w:val="24"/>
        </w:rPr>
        <w:t>》、体育五门课程，每周2节，安排有丰富教学经验的本专业中高级教师任课。公共课程着眼于基础性、应用性和发展性，为后继专业课程教学服务，为学生终身发展服务。精心选择公共课程的内容，促进公共课和专业课、学生实习的有机融合，积极探索适合职业教育需要的公共课程教学的新形式和新方法。要求专业课教师教学时，严格按照专业课程标准体现专业教学的某一方面或某一领域对学生在知识与技能、过程与方法、情感态度与价值观等方面的基本要求，并规定专业课程的性质、目标、设计思路、内容框架，提出教学建议和评价建议。我校公共基础课程学时约占总学时的1/3，累计总学时约为1学年。保证学生修完公共基础课程的必修内容和学时。专业技能课程学时约占总学时的2/3，其中顶岗实习累计总学时原则上为1学年。认真落实了教育部、财政部关于《中等职业学校学生实习管理办法》的规定和要求。严格要求每一位任课老师严格执行国家课程大纲，国家没有统一教学大纲的，各学科组要认真加以研究，参考兄弟学校教学情况，制定出我校的教学标准计划，杜绝上课的随意性。</w:t>
      </w:r>
      <w:r>
        <w:rPr>
          <w:rFonts w:ascii="宋体" w:hAnsi="宋体" w:eastAsia="宋体" w:cs="宋体"/>
          <w:kern w:val="0"/>
          <w:sz w:val="24"/>
          <w:szCs w:val="24"/>
        </w:rPr>
        <w:br w:type="textWrapping"/>
      </w:r>
      <w:r>
        <w:rPr>
          <w:rFonts w:ascii="宋体" w:hAnsi="宋体" w:eastAsia="宋体" w:cs="宋体"/>
          <w:kern w:val="0"/>
          <w:sz w:val="24"/>
          <w:szCs w:val="24"/>
        </w:rPr>
        <w:t>3.2.2教学改革。学校实施性教学计划以培养学生创新精神与实践能力为出发点，以学生的可持续发展为基本要求，明确应用型创新人才的培养目标。根据学校培养目标，本着重视公共文化课程、加强专业核心课程、扩大选修课程的原则，围绕核心课程目标、教学内容、教学模式、教材建设等方面进行研讨。充分发挥专业建设指导委员会的作用，调整公共文化课程比例，突出专业核心课程与训练项目的要求，不断对原专业的课程标准进行修订；重视专业通用平台的建立，专业拓展课程显示专业方向性，专业选修课拓宽学生的专业视野，为学生综合素质的发展提供广阔的空间。各专业根据教育部的要求开设德育课程，开设语文、计算机应用基础、体育与</w:t>
      </w:r>
      <w:r>
        <w:rPr>
          <w:rFonts w:hint="eastAsia" w:ascii="宋体" w:hAnsi="宋体" w:eastAsia="宋体" w:cs="宋体"/>
          <w:kern w:val="0"/>
          <w:sz w:val="24"/>
          <w:szCs w:val="24"/>
        </w:rPr>
        <w:t>心理</w:t>
      </w:r>
      <w:r>
        <w:rPr>
          <w:rFonts w:ascii="宋体" w:hAnsi="宋体" w:eastAsia="宋体" w:cs="宋体"/>
          <w:kern w:val="0"/>
          <w:sz w:val="24"/>
          <w:szCs w:val="24"/>
        </w:rPr>
        <w:t>健康等文化基础课程。在教学过程中，打破理论在前实践滞后的旧教学模式，第一学期就安排一定量的实践课，让学生对本专业的内容提前了解，增加对后续课程学习的感性认识。贯穿“先做后学”“学做合一”于教学活动的始终，激发学生的学习热情。借助基地平台，大力开展课改实验，优化人才培养模式。通过生产与实习零距离接轨，践行工学结合模式</w:t>
      </w:r>
      <w:r>
        <w:rPr>
          <w:rFonts w:hint="eastAsia" w:ascii="宋体" w:hAnsi="宋体" w:eastAsia="宋体" w:cs="宋体"/>
          <w:kern w:val="0"/>
          <w:sz w:val="24"/>
          <w:szCs w:val="24"/>
        </w:rPr>
        <w:t>。</w:t>
      </w:r>
    </w:p>
    <w:p>
      <w:pPr>
        <w:rPr>
          <w:rFonts w:ascii="宋体" w:hAnsi="宋体" w:eastAsia="宋体" w:cs="宋体"/>
          <w:kern w:val="0"/>
          <w:sz w:val="24"/>
          <w:szCs w:val="24"/>
        </w:rPr>
      </w:pPr>
      <w:r>
        <w:rPr>
          <w:rFonts w:ascii="宋体" w:hAnsi="宋体" w:eastAsia="宋体" w:cs="宋体"/>
          <w:kern w:val="0"/>
          <w:sz w:val="24"/>
          <w:szCs w:val="24"/>
        </w:rPr>
        <w:t xml:space="preserve"> 3.2.3改革效果。学校一贯重视培养学生的创业意识、创业精神、创新思维和创业能力，坚持不懈地开展创业教育，鼓励学生积极参与自主创业，不但重视创新创业课程的教学，而且在学校各班开展了“创业小组”，营造良好的创业氛围，给学生提供创业实践的舞台，为今后的发展开辟更多更广的天地。</w:t>
      </w:r>
      <w:r>
        <w:rPr>
          <w:rFonts w:ascii="宋体" w:hAnsi="宋体" w:eastAsia="宋体" w:cs="宋体"/>
          <w:kern w:val="0"/>
          <w:sz w:val="24"/>
          <w:szCs w:val="24"/>
        </w:rPr>
        <w:br w:type="textWrapping"/>
      </w:r>
      <w:r>
        <w:rPr>
          <w:rFonts w:ascii="宋体" w:hAnsi="宋体" w:eastAsia="宋体" w:cs="宋体"/>
          <w:kern w:val="0"/>
          <w:sz w:val="24"/>
          <w:szCs w:val="24"/>
        </w:rPr>
        <w:t>3.3教师培养培训。</w:t>
      </w:r>
      <w:r>
        <w:rPr>
          <w:rFonts w:ascii="宋体" w:hAnsi="宋体" w:eastAsia="宋体" w:cs="宋体"/>
          <w:kern w:val="0"/>
          <w:sz w:val="24"/>
          <w:szCs w:val="24"/>
        </w:rPr>
        <w:br w:type="textWrapping"/>
      </w:r>
      <w:r>
        <w:rPr>
          <w:rFonts w:ascii="宋体" w:hAnsi="宋体" w:eastAsia="宋体" w:cs="宋体"/>
          <w:kern w:val="0"/>
          <w:sz w:val="24"/>
          <w:szCs w:val="24"/>
        </w:rPr>
        <w:t>3.3.1顶层设计。学校进一步增强科研兴师、兴教兴校的内涵发展战略，以省职业教育提升工程为契机，通过专业培训平台，有计划，有重点，有步骤地推进师资队伍建设。学校实施《阜阳高层次专业技术人才培养方案》，加强高层次人才、名师培养工作，鼓励和引导教职工积极投身教科研，参加各类创业创新大赛、课堂教学竞赛、信息化教学大赛等活动。</w:t>
      </w:r>
      <w:r>
        <w:rPr>
          <w:rFonts w:ascii="宋体" w:hAnsi="宋体" w:eastAsia="宋体" w:cs="宋体"/>
          <w:kern w:val="0"/>
          <w:sz w:val="24"/>
          <w:szCs w:val="24"/>
        </w:rPr>
        <w:br w:type="textWrapping"/>
      </w:r>
      <w:r>
        <w:rPr>
          <w:rFonts w:ascii="宋体" w:hAnsi="宋体" w:eastAsia="宋体" w:cs="宋体"/>
          <w:kern w:val="0"/>
          <w:sz w:val="24"/>
          <w:szCs w:val="24"/>
        </w:rPr>
        <w:t>3.3.2具体措施。学校制定了专业教师参加企业实践管理办法，规范教师企业实践行为。要求教师参加企业岗位实践，必须制订岗位实践计划，明确实践岗位、实践要求、实践时间、考核标准等。教师要根据实践计划的要求，认真参加企业岗位实践，切实提高自身的专业知识水平和专业技术能力，定期以书面形式向学校汇报参加企业岗位实践的情况，每期参加企业岗位实践结束后，必须提交参加企业岗位实践的书面总结和效果汇报。学校组织对参加企业岗位实践的教师进行考核评价，并将考核结果作为学校奖励津贴发放的重要依据。教师企业实践促进“双师”型教师的培养，提高专业教师适应经济建设的能力，促进教师实践技术技能水平的提高。</w:t>
      </w:r>
      <w:r>
        <w:rPr>
          <w:rFonts w:ascii="宋体" w:hAnsi="宋体" w:eastAsia="宋体" w:cs="宋体"/>
          <w:kern w:val="0"/>
          <w:sz w:val="24"/>
          <w:szCs w:val="24"/>
        </w:rPr>
        <w:br w:type="textWrapping"/>
      </w:r>
      <w:r>
        <w:rPr>
          <w:rFonts w:ascii="宋体" w:hAnsi="宋体" w:eastAsia="宋体" w:cs="宋体"/>
          <w:kern w:val="0"/>
          <w:sz w:val="24"/>
          <w:szCs w:val="24"/>
        </w:rPr>
        <w:t>3.3.3培养成果。</w:t>
      </w:r>
      <w:r>
        <w:rPr>
          <w:rFonts w:ascii="宋体" w:hAnsi="宋体" w:eastAsia="宋体" w:cs="宋体"/>
          <w:kern w:val="0"/>
          <w:sz w:val="24"/>
          <w:szCs w:val="24"/>
        </w:rPr>
        <w:br w:type="textWrapping"/>
      </w:r>
      <w:r>
        <w:rPr>
          <w:rFonts w:ascii="宋体" w:hAnsi="宋体" w:eastAsia="宋体" w:cs="宋体"/>
          <w:kern w:val="0"/>
          <w:sz w:val="24"/>
          <w:szCs w:val="24"/>
        </w:rPr>
        <w:t>第一、狠抓师资建设，教师队伍整体水平大幅提高。一是鼓励老师积极参加国家、省、市三级培训，加快双师型专业教学团队建设。201</w:t>
      </w:r>
      <w:r>
        <w:rPr>
          <w:rFonts w:hint="eastAsia" w:ascii="宋体" w:hAnsi="宋体" w:eastAsia="宋体" w:cs="宋体"/>
          <w:kern w:val="0"/>
          <w:sz w:val="24"/>
          <w:szCs w:val="24"/>
          <w:lang w:val="en-US" w:eastAsia="zh-CN"/>
        </w:rPr>
        <w:t>9</w:t>
      </w:r>
      <w:r>
        <w:rPr>
          <w:rFonts w:ascii="宋体" w:hAnsi="宋体" w:eastAsia="宋体" w:cs="宋体"/>
          <w:kern w:val="0"/>
          <w:sz w:val="24"/>
          <w:szCs w:val="24"/>
        </w:rPr>
        <w:t>年有</w:t>
      </w:r>
      <w:r>
        <w:rPr>
          <w:rFonts w:hint="eastAsia" w:ascii="宋体" w:hAnsi="宋体" w:eastAsia="宋体" w:cs="宋体"/>
          <w:kern w:val="0"/>
          <w:sz w:val="24"/>
          <w:szCs w:val="24"/>
        </w:rPr>
        <w:t>3</w:t>
      </w:r>
      <w:r>
        <w:rPr>
          <w:rFonts w:ascii="宋体" w:hAnsi="宋体" w:eastAsia="宋体" w:cs="宋体"/>
          <w:kern w:val="0"/>
          <w:sz w:val="24"/>
          <w:szCs w:val="24"/>
        </w:rPr>
        <w:t>人参加省级骨干教师培训和教育信息化培训，</w:t>
      </w:r>
      <w:r>
        <w:rPr>
          <w:rFonts w:hint="eastAsia" w:ascii="宋体" w:hAnsi="宋体" w:eastAsia="宋体" w:cs="宋体"/>
          <w:kern w:val="0"/>
          <w:sz w:val="24"/>
          <w:szCs w:val="24"/>
        </w:rPr>
        <w:t>3</w:t>
      </w:r>
      <w:r>
        <w:rPr>
          <w:rFonts w:ascii="宋体" w:hAnsi="宋体" w:eastAsia="宋体" w:cs="宋体"/>
          <w:kern w:val="0"/>
          <w:sz w:val="24"/>
          <w:szCs w:val="24"/>
        </w:rPr>
        <w:t>人参加市级骨干教师培训，</w:t>
      </w:r>
      <w:r>
        <w:rPr>
          <w:rFonts w:hint="eastAsia" w:ascii="宋体" w:hAnsi="宋体" w:eastAsia="宋体" w:cs="宋体"/>
          <w:kern w:val="0"/>
          <w:sz w:val="24"/>
          <w:szCs w:val="24"/>
        </w:rPr>
        <w:t>32</w:t>
      </w:r>
      <w:r>
        <w:rPr>
          <w:rFonts w:ascii="宋体" w:hAnsi="宋体" w:eastAsia="宋体" w:cs="宋体"/>
          <w:kern w:val="0"/>
          <w:sz w:val="24"/>
          <w:szCs w:val="24"/>
        </w:rPr>
        <w:t>人次参加省市网络远程继续教育培训。二是通过校企合作培训师资。选派青年教师到企业跟班学习锻炼。通过师资建设，我校教师队伍素质大幅提升，涌现了一批业务精湛、师德高尚的优秀教师。</w:t>
      </w:r>
    </w:p>
    <w:p>
      <w:pPr>
        <w:rPr>
          <w:rFonts w:ascii="宋体" w:hAnsi="宋体" w:eastAsia="宋体" w:cs="宋体"/>
          <w:kern w:val="0"/>
          <w:sz w:val="24"/>
          <w:szCs w:val="24"/>
        </w:rPr>
      </w:pPr>
      <w:r>
        <w:rPr>
          <w:rFonts w:ascii="宋体" w:hAnsi="宋体" w:eastAsia="宋体" w:cs="宋体"/>
          <w:kern w:val="0"/>
          <w:sz w:val="24"/>
          <w:szCs w:val="24"/>
        </w:rPr>
        <w:t>第二、以教研活动为载体，努力提高教师教育教学水平。一是营造学习氛围，健全学习制度。要求教师人人讲学习，人人爱学习，让学习培训形成风气。二是积极开展教研活动，注重实效。三是健全听课评课制度，</w:t>
      </w:r>
      <w:r>
        <w:rPr>
          <w:rFonts w:hint="eastAsia" w:ascii="宋体" w:hAnsi="宋体" w:eastAsia="宋体" w:cs="宋体"/>
          <w:kern w:val="0"/>
          <w:sz w:val="24"/>
          <w:szCs w:val="24"/>
        </w:rPr>
        <w:t>教务处</w:t>
      </w:r>
      <w:r>
        <w:rPr>
          <w:rFonts w:ascii="宋体" w:hAnsi="宋体" w:eastAsia="宋体" w:cs="宋体"/>
          <w:kern w:val="0"/>
          <w:sz w:val="24"/>
          <w:szCs w:val="24"/>
        </w:rPr>
        <w:t>随堂听课，课后评价其优缺点。四是积极开展青年教师信息化教学大赛。全市中职学校信息化教学大赛比赛，我校</w:t>
      </w:r>
      <w:r>
        <w:rPr>
          <w:rFonts w:hint="eastAsia" w:ascii="宋体" w:hAnsi="宋体" w:eastAsia="宋体" w:cs="宋体"/>
          <w:kern w:val="0"/>
          <w:sz w:val="24"/>
          <w:szCs w:val="24"/>
        </w:rPr>
        <w:t>3</w:t>
      </w:r>
      <w:r>
        <w:rPr>
          <w:rFonts w:ascii="宋体" w:hAnsi="宋体" w:eastAsia="宋体" w:cs="宋体"/>
          <w:kern w:val="0"/>
          <w:sz w:val="24"/>
          <w:szCs w:val="24"/>
        </w:rPr>
        <w:t>人获奖。</w:t>
      </w:r>
    </w:p>
    <w:p>
      <w:pPr>
        <w:rPr>
          <w:rFonts w:ascii="宋体" w:hAnsi="宋体" w:eastAsia="宋体" w:cs="宋体"/>
          <w:kern w:val="0"/>
          <w:sz w:val="24"/>
          <w:szCs w:val="24"/>
        </w:rPr>
      </w:pPr>
    </w:p>
    <w:p>
      <w:pPr>
        <w:rPr>
          <w:rFonts w:ascii="宋体" w:hAnsi="宋体" w:eastAsia="宋体" w:cs="宋体"/>
          <w:kern w:val="0"/>
          <w:sz w:val="24"/>
          <w:szCs w:val="24"/>
        </w:rPr>
      </w:pPr>
      <w:r>
        <w:rPr>
          <w:rFonts w:ascii="宋体" w:hAnsi="宋体" w:eastAsia="宋体" w:cs="宋体"/>
          <w:kern w:val="0"/>
          <w:sz w:val="24"/>
          <w:szCs w:val="24"/>
        </w:rPr>
        <w:t>3.4 规范管理情况。</w:t>
      </w:r>
      <w:r>
        <w:rPr>
          <w:rFonts w:ascii="宋体" w:hAnsi="宋体" w:eastAsia="宋体" w:cs="宋体"/>
          <w:kern w:val="0"/>
          <w:sz w:val="24"/>
          <w:szCs w:val="24"/>
        </w:rPr>
        <w:br w:type="textWrapping"/>
      </w:r>
      <w:r>
        <w:rPr>
          <w:rFonts w:ascii="宋体" w:hAnsi="宋体" w:eastAsia="宋体" w:cs="宋体"/>
          <w:kern w:val="0"/>
          <w:sz w:val="24"/>
          <w:szCs w:val="24"/>
        </w:rPr>
        <w:t>3.4.1教学管理。</w:t>
      </w:r>
      <w:r>
        <w:rPr>
          <w:rFonts w:ascii="宋体" w:hAnsi="宋体" w:eastAsia="宋体" w:cs="宋体"/>
          <w:kern w:val="0"/>
          <w:sz w:val="24"/>
          <w:szCs w:val="24"/>
        </w:rPr>
        <w:br w:type="textWrapping"/>
      </w:r>
      <w:r>
        <w:rPr>
          <w:rFonts w:ascii="宋体" w:hAnsi="宋体" w:eastAsia="宋体" w:cs="宋体"/>
          <w:kern w:val="0"/>
          <w:sz w:val="24"/>
          <w:szCs w:val="24"/>
        </w:rPr>
        <w:t>（1）加强教学督查，提高教学质量。学校教学以“向管理要质量”为目标，明确要求教师要努力加强自身师德修养，认真教书育人，圆满完成教学任务，使学生学有所得、学有所用、学有所悟。教</w:t>
      </w:r>
      <w:r>
        <w:rPr>
          <w:rFonts w:hint="eastAsia" w:ascii="宋体" w:hAnsi="宋体" w:eastAsia="宋体" w:cs="宋体"/>
          <w:kern w:val="0"/>
          <w:sz w:val="24"/>
          <w:szCs w:val="24"/>
        </w:rPr>
        <w:t>务</w:t>
      </w:r>
      <w:r>
        <w:rPr>
          <w:rFonts w:ascii="宋体" w:hAnsi="宋体" w:eastAsia="宋体" w:cs="宋体"/>
          <w:kern w:val="0"/>
          <w:sz w:val="24"/>
          <w:szCs w:val="24"/>
        </w:rPr>
        <w:t>处加大常规教学管理的检查力度，每学期数次进行教师教案及作业批改检查，认真记录检查结果。定期组织教学管理人员及名师深入课堂检查教师授课情况并认真记录。每期期末，教务处还要认真组织各年级学生进行评教活动。教务处将有关教学工作的检查结果，以教学通报的形式发</w:t>
      </w:r>
      <w:r>
        <w:rPr>
          <w:rFonts w:hint="eastAsia" w:ascii="宋体" w:hAnsi="宋体" w:eastAsia="宋体" w:cs="宋体"/>
          <w:kern w:val="0"/>
          <w:sz w:val="24"/>
          <w:szCs w:val="24"/>
        </w:rPr>
        <w:t>到</w:t>
      </w:r>
      <w:r>
        <w:rPr>
          <w:rFonts w:ascii="宋体" w:hAnsi="宋体" w:eastAsia="宋体" w:cs="宋体"/>
          <w:kern w:val="0"/>
          <w:sz w:val="24"/>
          <w:szCs w:val="24"/>
        </w:rPr>
        <w:t>各教研组。由于计划周密，措施到位，确保了教学质量的提高。</w:t>
      </w:r>
      <w:r>
        <w:rPr>
          <w:rFonts w:ascii="宋体" w:hAnsi="宋体" w:eastAsia="宋体" w:cs="宋体"/>
          <w:kern w:val="0"/>
          <w:sz w:val="24"/>
          <w:szCs w:val="24"/>
        </w:rPr>
        <w:br w:type="textWrapping"/>
      </w:r>
      <w:r>
        <w:rPr>
          <w:rFonts w:ascii="宋体" w:hAnsi="宋体" w:eastAsia="宋体" w:cs="宋体"/>
          <w:kern w:val="0"/>
          <w:sz w:val="24"/>
          <w:szCs w:val="24"/>
        </w:rPr>
        <w:t>（2）狠抓学风，提高学生巩固率。学校千辛万苦、千方百计抓学风，通过严明上下学纪律、完善班级评比方案、细化行政值周入堂检查等举措，实现了由“学风差，流失率高”向“学风好，巩固率高”的转变</w:t>
      </w:r>
      <w:r>
        <w:rPr>
          <w:rFonts w:hint="eastAsia" w:ascii="宋体" w:hAnsi="宋体" w:eastAsia="宋体" w:cs="宋体"/>
          <w:kern w:val="0"/>
          <w:sz w:val="24"/>
          <w:szCs w:val="24"/>
        </w:rPr>
        <w:t>，</w:t>
      </w:r>
      <w:r>
        <w:rPr>
          <w:rFonts w:ascii="宋体" w:hAnsi="宋体" w:eastAsia="宋体" w:cs="宋体"/>
          <w:kern w:val="0"/>
          <w:sz w:val="24"/>
          <w:szCs w:val="24"/>
        </w:rPr>
        <w:t>解决了职业学校比较棘手的中途辍学率高的难题。</w:t>
      </w:r>
      <w:r>
        <w:rPr>
          <w:rFonts w:ascii="宋体" w:hAnsi="宋体" w:eastAsia="宋体" w:cs="宋体"/>
          <w:kern w:val="0"/>
          <w:sz w:val="24"/>
          <w:szCs w:val="24"/>
        </w:rPr>
        <w:br w:type="textWrapping"/>
      </w:r>
      <w:r>
        <w:rPr>
          <w:rFonts w:ascii="宋体" w:hAnsi="宋体" w:eastAsia="宋体" w:cs="宋体"/>
          <w:kern w:val="0"/>
          <w:sz w:val="24"/>
          <w:szCs w:val="24"/>
        </w:rPr>
        <w:t>（3）强化日常管理。每日对班级学生的人数、仪容仪表、卫生等进行全面检查，规范学生的不良行为，讲脏话，不玩手机，不乱走动，形成良好的班风，争创文明班级。</w:t>
      </w:r>
      <w:r>
        <w:rPr>
          <w:rFonts w:ascii="宋体" w:hAnsi="宋体" w:eastAsia="宋体" w:cs="宋体"/>
          <w:kern w:val="0"/>
          <w:sz w:val="24"/>
          <w:szCs w:val="24"/>
        </w:rPr>
        <w:br w:type="textWrapping"/>
      </w:r>
      <w:r>
        <w:rPr>
          <w:rFonts w:ascii="宋体" w:hAnsi="宋体" w:eastAsia="宋体" w:cs="宋体"/>
          <w:kern w:val="0"/>
          <w:sz w:val="24"/>
          <w:szCs w:val="24"/>
        </w:rPr>
        <w:t>（4）安全工作常抓不懈。利用班会、国旗下讲话对学生进行安全、法制教育，培养学生的安全、法纪意识。定期为学生举办法制讲座；实行教师日常安全巡逻制度，经常排查安全隐患。学校的安全事故为零、师生犯罪率为零，学校被评为“市级文明校园”。</w:t>
      </w:r>
      <w:r>
        <w:rPr>
          <w:rFonts w:ascii="宋体" w:hAnsi="宋体" w:eastAsia="宋体" w:cs="宋体"/>
          <w:kern w:val="0"/>
          <w:sz w:val="24"/>
          <w:szCs w:val="24"/>
        </w:rPr>
        <w:br w:type="textWrapping"/>
      </w:r>
      <w:r>
        <w:rPr>
          <w:rFonts w:ascii="宋体" w:hAnsi="宋体" w:eastAsia="宋体" w:cs="宋体"/>
          <w:kern w:val="0"/>
          <w:sz w:val="24"/>
          <w:szCs w:val="24"/>
        </w:rPr>
        <w:t>（5）加强学生会建设。鼓励学生参加学校管理，提长升学生的管理能力。</w:t>
      </w:r>
      <w:r>
        <w:rPr>
          <w:rFonts w:ascii="宋体" w:hAnsi="宋体" w:eastAsia="宋体" w:cs="宋体"/>
          <w:kern w:val="0"/>
          <w:sz w:val="24"/>
          <w:szCs w:val="24"/>
        </w:rPr>
        <w:br w:type="textWrapping"/>
      </w:r>
      <w:r>
        <w:rPr>
          <w:rFonts w:ascii="宋体" w:hAnsi="宋体" w:eastAsia="宋体" w:cs="宋体"/>
          <w:kern w:val="0"/>
          <w:sz w:val="24"/>
          <w:szCs w:val="24"/>
        </w:rPr>
        <w:t>3.4.2学生管理。</w:t>
      </w:r>
      <w:r>
        <w:rPr>
          <w:rFonts w:ascii="宋体" w:hAnsi="宋体" w:eastAsia="宋体" w:cs="宋体"/>
          <w:kern w:val="0"/>
          <w:sz w:val="24"/>
          <w:szCs w:val="24"/>
        </w:rPr>
        <w:br w:type="textWrapping"/>
      </w:r>
      <w:r>
        <w:rPr>
          <w:rFonts w:ascii="宋体" w:hAnsi="宋体" w:eastAsia="宋体" w:cs="宋体"/>
          <w:kern w:val="0"/>
          <w:sz w:val="24"/>
          <w:szCs w:val="24"/>
        </w:rPr>
        <w:t>让学生自主管理是我校一大特色，让学生积极主动管理，既锻炼学生的管理能力，又培养学生的责任意识。一是成立学生会，让学生会参与学校管理，明确学生干部岗位职责，让学生会参与学校卫生大检查，班级参与学校值星工作，培养学生的管理能力。二是组织学生积极组建社团，教师给予指导，学生自主管理，自主开展日常工作。三是培养班委的自主管理能力，提倡班主任放手，让学生自己管理自己，培养学生主人翁精神。四是团委经常举行学生自主管理业务培训，学校聘请专家讲课，邀请学生会干部根据管理实践，分享自主管理心得体会。</w:t>
      </w:r>
      <w:r>
        <w:rPr>
          <w:rFonts w:ascii="宋体" w:hAnsi="宋体" w:eastAsia="宋体" w:cs="宋体"/>
          <w:kern w:val="0"/>
          <w:sz w:val="24"/>
          <w:szCs w:val="24"/>
        </w:rPr>
        <w:br w:type="textWrapping"/>
      </w:r>
      <w:r>
        <w:rPr>
          <w:rFonts w:ascii="宋体" w:hAnsi="宋体" w:eastAsia="宋体" w:cs="宋体"/>
          <w:kern w:val="0"/>
          <w:sz w:val="24"/>
          <w:szCs w:val="24"/>
        </w:rPr>
        <w:t>3.4.3财务管理。</w:t>
      </w:r>
      <w:r>
        <w:rPr>
          <w:rFonts w:ascii="宋体" w:hAnsi="宋体" w:eastAsia="宋体" w:cs="宋体"/>
          <w:kern w:val="0"/>
          <w:sz w:val="24"/>
          <w:szCs w:val="24"/>
        </w:rPr>
        <w:br w:type="textWrapping"/>
      </w:r>
      <w:r>
        <w:rPr>
          <w:rFonts w:ascii="宋体" w:hAnsi="宋体" w:eastAsia="宋体" w:cs="宋体"/>
          <w:kern w:val="0"/>
          <w:sz w:val="24"/>
          <w:szCs w:val="24"/>
        </w:rPr>
        <w:t>一是依法照章做好财务管理工作，管理好教育经费的收支。在资金使用上，严格执行审批制度，坚持按计划行事，合理使用资金，保证专款专用。重大项目集体研究，重大的资金使用做到及时公示，接受群众监督。</w:t>
      </w:r>
      <w:r>
        <w:rPr>
          <w:rFonts w:ascii="宋体" w:hAnsi="宋体" w:eastAsia="宋体" w:cs="宋体"/>
          <w:kern w:val="0"/>
          <w:sz w:val="24"/>
          <w:szCs w:val="24"/>
        </w:rPr>
        <w:br w:type="textWrapping"/>
      </w:r>
      <w:r>
        <w:rPr>
          <w:rFonts w:ascii="宋体" w:hAnsi="宋体" w:eastAsia="宋体" w:cs="宋体"/>
          <w:kern w:val="0"/>
          <w:sz w:val="24"/>
          <w:szCs w:val="24"/>
        </w:rPr>
        <w:t>二是严格财务制度，加强财务监督。严格财经纪律，规范审批程序，促进学校廉政建设，保证资金使用效率。</w:t>
      </w:r>
      <w:r>
        <w:rPr>
          <w:rFonts w:ascii="宋体" w:hAnsi="宋体" w:eastAsia="宋体" w:cs="宋体"/>
          <w:kern w:val="0"/>
          <w:sz w:val="24"/>
          <w:szCs w:val="24"/>
        </w:rPr>
        <w:br w:type="textWrapping"/>
      </w:r>
      <w:r>
        <w:rPr>
          <w:rFonts w:ascii="宋体" w:hAnsi="宋体" w:eastAsia="宋体" w:cs="宋体"/>
          <w:kern w:val="0"/>
          <w:sz w:val="24"/>
          <w:szCs w:val="24"/>
        </w:rPr>
        <w:t>三是制定预算审批程序和招标工作制度，学校重大项目建设集体研究，严格执行招投标制度。规范学校财务管理，提高资金的使用效率。规范学校采购及招标投标工作，提高学校资金的使用效益，维护学校利益，促进廉政建设。</w:t>
      </w:r>
      <w:r>
        <w:rPr>
          <w:rFonts w:ascii="宋体" w:hAnsi="宋体" w:eastAsia="宋体" w:cs="宋体"/>
          <w:kern w:val="0"/>
          <w:sz w:val="24"/>
          <w:szCs w:val="24"/>
        </w:rPr>
        <w:br w:type="textWrapping"/>
      </w:r>
      <w:r>
        <w:rPr>
          <w:rFonts w:ascii="宋体" w:hAnsi="宋体" w:eastAsia="宋体" w:cs="宋体"/>
          <w:kern w:val="0"/>
          <w:sz w:val="24"/>
          <w:szCs w:val="24"/>
        </w:rPr>
        <w:t>四是积极推进财务信息全面公开，主动接受监督与检查。为了夯实财务信息公开制度基础，提高财务信息公开的主动性、透明性、规范性，按照市财政局和教育局的要求，制订了我校财务公开管理体制建设方案，及时、准确、完整的对我校财务信息进行了公开。公开内容包括学校201</w:t>
      </w:r>
      <w:r>
        <w:rPr>
          <w:rFonts w:hint="eastAsia" w:ascii="宋体" w:hAnsi="宋体" w:eastAsia="宋体" w:cs="宋体"/>
          <w:kern w:val="0"/>
          <w:sz w:val="24"/>
          <w:szCs w:val="24"/>
          <w:lang w:val="en-US" w:eastAsia="zh-CN"/>
        </w:rPr>
        <w:t>9</w:t>
      </w:r>
      <w:r>
        <w:rPr>
          <w:rFonts w:ascii="宋体" w:hAnsi="宋体" w:eastAsia="宋体" w:cs="宋体"/>
          <w:kern w:val="0"/>
          <w:sz w:val="24"/>
          <w:szCs w:val="24"/>
        </w:rPr>
        <w:t>年部门预算、201</w:t>
      </w:r>
      <w:r>
        <w:rPr>
          <w:rFonts w:hint="eastAsia" w:ascii="宋体" w:hAnsi="宋体" w:eastAsia="宋体" w:cs="宋体"/>
          <w:kern w:val="0"/>
          <w:sz w:val="24"/>
          <w:szCs w:val="24"/>
          <w:lang w:val="en-US" w:eastAsia="zh-CN"/>
        </w:rPr>
        <w:t>8</w:t>
      </w:r>
      <w:r>
        <w:rPr>
          <w:rFonts w:ascii="宋体" w:hAnsi="宋体" w:eastAsia="宋体" w:cs="宋体"/>
          <w:kern w:val="0"/>
          <w:sz w:val="24"/>
          <w:szCs w:val="24"/>
        </w:rPr>
        <w:t>年决算报表、“三公经费”预决算信息、项目经费执行进度以及财政、审计、上级主管部门出具的审计监督评价报告及整改情况等。及时公示收支账单，提高学校财务管理的透明度。</w:t>
      </w:r>
      <w:r>
        <w:rPr>
          <w:rFonts w:ascii="宋体" w:hAnsi="宋体" w:eastAsia="宋体" w:cs="宋体"/>
          <w:kern w:val="0"/>
          <w:sz w:val="24"/>
          <w:szCs w:val="24"/>
        </w:rPr>
        <w:br w:type="textWrapping"/>
      </w:r>
      <w:r>
        <w:rPr>
          <w:rFonts w:ascii="宋体" w:hAnsi="宋体" w:eastAsia="宋体" w:cs="宋体"/>
          <w:kern w:val="0"/>
          <w:sz w:val="24"/>
          <w:szCs w:val="24"/>
        </w:rPr>
        <w:t>3.4.4后勤管理。</w:t>
      </w:r>
      <w:r>
        <w:rPr>
          <w:rFonts w:ascii="宋体" w:hAnsi="宋体" w:eastAsia="宋体" w:cs="宋体"/>
          <w:kern w:val="0"/>
          <w:sz w:val="24"/>
          <w:szCs w:val="24"/>
        </w:rPr>
        <w:br w:type="textWrapping"/>
      </w:r>
      <w:r>
        <w:rPr>
          <w:rFonts w:ascii="宋体" w:hAnsi="宋体" w:eastAsia="宋体" w:cs="宋体"/>
          <w:kern w:val="0"/>
          <w:sz w:val="24"/>
          <w:szCs w:val="24"/>
        </w:rPr>
        <w:t>我校以健全制度建设，强化制度执行力度为抓手，进一步完善管理机制、提高管理水平。201</w:t>
      </w:r>
      <w:r>
        <w:rPr>
          <w:rFonts w:hint="eastAsia" w:ascii="宋体" w:hAnsi="宋体" w:eastAsia="宋体" w:cs="宋体"/>
          <w:kern w:val="0"/>
          <w:sz w:val="24"/>
          <w:szCs w:val="24"/>
          <w:lang w:val="en-US" w:eastAsia="zh-CN"/>
        </w:rPr>
        <w:t>9</w:t>
      </w:r>
      <w:r>
        <w:rPr>
          <w:rFonts w:ascii="宋体" w:hAnsi="宋体" w:eastAsia="宋体" w:cs="宋体"/>
          <w:kern w:val="0"/>
          <w:sz w:val="24"/>
          <w:szCs w:val="24"/>
        </w:rPr>
        <w:t>年，我校建立和健全了内部控制体系，完善内部控制环境、预决算管理、资产管理、收入管理、支出管理、合同管理、采购管理、项目管理等的管理机制。进一步完善了采购机制和预算编制工作规程，修订了学校资产管理的有关规定，充分发挥现有资产设备服务教育教学和全体师生的作用。</w:t>
      </w:r>
      <w:r>
        <w:rPr>
          <w:rFonts w:ascii="宋体" w:hAnsi="宋体" w:eastAsia="宋体" w:cs="宋体"/>
          <w:kern w:val="0"/>
          <w:sz w:val="24"/>
          <w:szCs w:val="24"/>
        </w:rPr>
        <w:br w:type="textWrapping"/>
      </w:r>
      <w:r>
        <w:rPr>
          <w:rFonts w:ascii="宋体" w:hAnsi="宋体" w:eastAsia="宋体" w:cs="宋体"/>
          <w:kern w:val="0"/>
          <w:sz w:val="24"/>
          <w:szCs w:val="24"/>
        </w:rPr>
        <w:t>3.4.5安全管理。</w:t>
      </w:r>
      <w:r>
        <w:rPr>
          <w:rFonts w:ascii="宋体" w:hAnsi="宋体" w:eastAsia="宋体" w:cs="宋体"/>
          <w:kern w:val="0"/>
          <w:sz w:val="24"/>
          <w:szCs w:val="24"/>
        </w:rPr>
        <w:br w:type="textWrapping"/>
      </w:r>
      <w:r>
        <w:rPr>
          <w:rFonts w:ascii="宋体" w:hAnsi="宋体" w:eastAsia="宋体" w:cs="宋体"/>
          <w:kern w:val="0"/>
          <w:sz w:val="24"/>
          <w:szCs w:val="24"/>
        </w:rPr>
        <w:t>一是各种相关计划、总结、安全报表、相关材料及时上交，各项工作落实到位。</w:t>
      </w:r>
      <w:r>
        <w:rPr>
          <w:rFonts w:ascii="宋体" w:hAnsi="宋体" w:eastAsia="宋体" w:cs="宋体"/>
          <w:kern w:val="0"/>
          <w:sz w:val="24"/>
          <w:szCs w:val="24"/>
        </w:rPr>
        <w:br w:type="textWrapping"/>
      </w:r>
      <w:r>
        <w:rPr>
          <w:rFonts w:ascii="宋体" w:hAnsi="宋体" w:eastAsia="宋体" w:cs="宋体"/>
          <w:kern w:val="0"/>
          <w:sz w:val="24"/>
          <w:szCs w:val="24"/>
        </w:rPr>
        <w:t>二是开展安全自查，树立安全意识。定期召开安全教育主题班会，把安全教育作为学校德育工作的首要大事，做到学校行政例会有研究部署，班主任会议有安全形势汇报，对安全工作形成了“人人有责，齐抓共管”的局面。</w:t>
      </w:r>
      <w:r>
        <w:rPr>
          <w:rFonts w:ascii="宋体" w:hAnsi="宋体" w:eastAsia="宋体" w:cs="宋体"/>
          <w:kern w:val="0"/>
          <w:sz w:val="24"/>
          <w:szCs w:val="24"/>
        </w:rPr>
        <w:br w:type="textWrapping"/>
      </w:r>
      <w:r>
        <w:rPr>
          <w:rFonts w:ascii="宋体" w:hAnsi="宋体" w:eastAsia="宋体" w:cs="宋体"/>
          <w:kern w:val="0"/>
          <w:sz w:val="24"/>
          <w:szCs w:val="24"/>
        </w:rPr>
        <w:t>三是加强生命安全教育。重点加强对学生进行打架斗殴、交通安全、消防安全、游泳安全、楼道疏散安全、食品安全和预防各类传染病防控的教育，增强学生自救、自护能力。张贴和组织学生收看安全教育宣传片，开展防地震防火灾紧急疏散演练等。要求各班班委会设立安全委员，使班级安全工作有专人负责。</w:t>
      </w:r>
      <w:r>
        <w:rPr>
          <w:rFonts w:ascii="宋体" w:hAnsi="宋体" w:eastAsia="宋体" w:cs="宋体"/>
          <w:kern w:val="0"/>
          <w:sz w:val="24"/>
          <w:szCs w:val="24"/>
        </w:rPr>
        <w:br w:type="textWrapping"/>
      </w:r>
      <w:r>
        <w:rPr>
          <w:rFonts w:ascii="宋体" w:hAnsi="宋体" w:eastAsia="宋体" w:cs="宋体"/>
          <w:kern w:val="0"/>
          <w:sz w:val="24"/>
          <w:szCs w:val="24"/>
        </w:rPr>
        <w:t>四是加强师生的法纪教育。坚持每学期邀请市普法宣讲团专家对学生进行法纪教育，用浅显的案例，深刻地教育师生；利用国旗下的讲话、班会等加强法纪教育，使全校师生学法、知法、守法。</w:t>
      </w:r>
      <w:r>
        <w:rPr>
          <w:rFonts w:ascii="宋体" w:hAnsi="宋体" w:eastAsia="宋体" w:cs="宋体"/>
          <w:kern w:val="0"/>
          <w:sz w:val="24"/>
          <w:szCs w:val="24"/>
        </w:rPr>
        <w:br w:type="textWrapping"/>
      </w:r>
      <w:r>
        <w:rPr>
          <w:rFonts w:ascii="宋体" w:hAnsi="宋体" w:eastAsia="宋体" w:cs="宋体"/>
          <w:kern w:val="0"/>
          <w:sz w:val="24"/>
          <w:szCs w:val="24"/>
        </w:rPr>
        <w:t>五是实行国家法定节假日值班制度。加大节假日校园安全巡查力度。针对寒暑假和重大节日，印发通知要求和致家长的一封信等，提醒家长们配合做好安全防患工作。</w:t>
      </w:r>
      <w:r>
        <w:rPr>
          <w:rFonts w:ascii="宋体" w:hAnsi="宋体" w:eastAsia="宋体" w:cs="宋体"/>
          <w:kern w:val="0"/>
          <w:sz w:val="24"/>
          <w:szCs w:val="24"/>
        </w:rPr>
        <w:br w:type="textWrapping"/>
      </w:r>
      <w:r>
        <w:rPr>
          <w:rFonts w:ascii="宋体" w:hAnsi="宋体" w:eastAsia="宋体" w:cs="宋体"/>
          <w:kern w:val="0"/>
          <w:sz w:val="24"/>
          <w:szCs w:val="24"/>
        </w:rPr>
        <w:t>六是定期召开安全专题会，定期与相关处室对校园及其周边进行安全隐患大排查。</w:t>
      </w:r>
      <w:r>
        <w:rPr>
          <w:rFonts w:ascii="宋体" w:hAnsi="宋体" w:eastAsia="宋体" w:cs="宋体"/>
          <w:kern w:val="0"/>
          <w:sz w:val="24"/>
          <w:szCs w:val="24"/>
        </w:rPr>
        <w:br w:type="textWrapping"/>
      </w:r>
      <w:r>
        <w:rPr>
          <w:rFonts w:ascii="宋体" w:hAnsi="宋体" w:eastAsia="宋体" w:cs="宋体"/>
          <w:kern w:val="0"/>
          <w:sz w:val="24"/>
          <w:szCs w:val="24"/>
        </w:rPr>
        <w:t>七是严惩校园欺凌行为，坚持校园欺凌月报制，为学生创造良好学习环境。</w:t>
      </w:r>
      <w:r>
        <w:rPr>
          <w:rFonts w:ascii="宋体" w:hAnsi="宋体" w:eastAsia="宋体" w:cs="宋体"/>
          <w:kern w:val="0"/>
          <w:sz w:val="24"/>
          <w:szCs w:val="24"/>
        </w:rPr>
        <w:br w:type="textWrapping"/>
      </w:r>
      <w:r>
        <w:rPr>
          <w:rFonts w:ascii="宋体" w:hAnsi="宋体" w:eastAsia="宋体" w:cs="宋体"/>
          <w:kern w:val="0"/>
          <w:sz w:val="24"/>
          <w:szCs w:val="24"/>
        </w:rPr>
        <w:t>201</w:t>
      </w:r>
      <w:r>
        <w:rPr>
          <w:rFonts w:hint="eastAsia" w:ascii="宋体" w:hAnsi="宋体" w:eastAsia="宋体" w:cs="宋体"/>
          <w:kern w:val="0"/>
          <w:sz w:val="24"/>
          <w:szCs w:val="24"/>
          <w:lang w:val="en-US" w:eastAsia="zh-CN"/>
        </w:rPr>
        <w:t>9</w:t>
      </w:r>
      <w:r>
        <w:rPr>
          <w:rFonts w:ascii="宋体" w:hAnsi="宋体" w:eastAsia="宋体" w:cs="宋体"/>
          <w:kern w:val="0"/>
          <w:sz w:val="24"/>
          <w:szCs w:val="24"/>
        </w:rPr>
        <w:t>年，学校没有发生任何安全事故。</w:t>
      </w:r>
    </w:p>
    <w:p>
      <w:pPr>
        <w:rPr>
          <w:rFonts w:ascii="宋体" w:hAnsi="宋体" w:eastAsia="宋体" w:cs="宋体"/>
          <w:kern w:val="0"/>
          <w:sz w:val="24"/>
          <w:szCs w:val="24"/>
        </w:rPr>
      </w:pPr>
      <w:r>
        <w:rPr>
          <w:rFonts w:ascii="宋体" w:hAnsi="宋体" w:eastAsia="宋体" w:cs="宋体"/>
          <w:kern w:val="0"/>
          <w:sz w:val="24"/>
          <w:szCs w:val="24"/>
        </w:rPr>
        <w:t>3.4.6科研管理建设。</w:t>
      </w:r>
      <w:r>
        <w:rPr>
          <w:rFonts w:ascii="宋体" w:hAnsi="宋体" w:eastAsia="宋体" w:cs="宋体"/>
          <w:kern w:val="0"/>
          <w:sz w:val="24"/>
          <w:szCs w:val="24"/>
        </w:rPr>
        <w:br w:type="textWrapping"/>
      </w:r>
      <w:r>
        <w:rPr>
          <w:rFonts w:ascii="宋体" w:hAnsi="宋体" w:eastAsia="宋体" w:cs="宋体"/>
          <w:kern w:val="0"/>
          <w:sz w:val="24"/>
          <w:szCs w:val="24"/>
        </w:rPr>
        <w:t>加强教科研组织与队伍建设，全面提高教师队伍整体素质。建立完善的教科研网络，加强教研组工作。教研组以教研组长为主，各级教学骨干积极参与，开展多种形式教研活动。学校建立教研组工作规范和考核制度，每学期进行考评。落实名师工程，培养教育科研骨干。学校重视学科带头人的教科研示范引领作用，组建名师工作坊，吸纳年轻骨干教师形成若干各具特色的教科研团队。关注教师专业成长，全面提高教师队伍整体素质。组织教师参加各级培训，提高水平和能力。学校继续开展暑期专业教师行业培训和文化课教师专业转岗培训。积极开展教学研究，组织教师参加各类教育教学竞赛。联系教学实际，积极撰写教育教学论文，深入开展科研课题研究。教师积极撰写教学后记和教学反思，使教学更具有实效性和针对性，提高教学的质量。</w:t>
      </w:r>
      <w:r>
        <w:rPr>
          <w:rFonts w:ascii="宋体" w:hAnsi="宋体" w:eastAsia="宋体" w:cs="宋体"/>
          <w:kern w:val="0"/>
          <w:sz w:val="24"/>
          <w:szCs w:val="24"/>
        </w:rPr>
        <w:br w:type="textWrapping"/>
      </w:r>
      <w:r>
        <w:rPr>
          <w:rFonts w:ascii="宋体" w:hAnsi="宋体" w:eastAsia="宋体" w:cs="宋体"/>
          <w:kern w:val="0"/>
          <w:sz w:val="24"/>
          <w:szCs w:val="24"/>
        </w:rPr>
        <w:t>3.4.7管理队伍建设。</w:t>
      </w:r>
      <w:r>
        <w:rPr>
          <w:rFonts w:ascii="宋体" w:hAnsi="宋体" w:eastAsia="宋体" w:cs="宋体"/>
          <w:kern w:val="0"/>
          <w:sz w:val="24"/>
          <w:szCs w:val="24"/>
        </w:rPr>
        <w:br w:type="textWrapping"/>
      </w:r>
      <w:r>
        <w:rPr>
          <w:rFonts w:ascii="宋体" w:hAnsi="宋体" w:eastAsia="宋体" w:cs="宋体"/>
          <w:kern w:val="0"/>
          <w:sz w:val="24"/>
          <w:szCs w:val="24"/>
        </w:rPr>
        <w:t>第一、学校注重抓常规管理，重点抓好三支队伍，一是抓中层班子队伍，二是抓班主任队伍，三是抓骨干教师队伍。第二、学校安排五个方面的管理层面，对学校形成立体式管理：一是班主任管理层面，全体班主任早晚自习必须到岗，检查班级人数，辅导督促学生学习；二是</w:t>
      </w:r>
      <w:r>
        <w:rPr>
          <w:rFonts w:hint="eastAsia" w:ascii="宋体" w:hAnsi="宋体" w:eastAsia="宋体" w:cs="宋体"/>
          <w:kern w:val="0"/>
          <w:sz w:val="24"/>
          <w:szCs w:val="24"/>
        </w:rPr>
        <w:t>学生工作处</w:t>
      </w:r>
      <w:r>
        <w:rPr>
          <w:rFonts w:ascii="宋体" w:hAnsi="宋体" w:eastAsia="宋体" w:cs="宋体"/>
          <w:kern w:val="0"/>
          <w:sz w:val="24"/>
          <w:szCs w:val="24"/>
        </w:rPr>
        <w:t>管理层面，值班人员检查早晚要有自习秩序及效果，检查班主任到岗情况；三是学校管理层面，参加早晚自习管理、夜间值班工作，处理突发事件，维护正常教学秩序；四是保卫科管理层面，每天值班到学生宿舍熄灯，维护校园秩序及处理突发事件；五是男女生宿舍管理层面，班主任检查学生就寝和寝室卫生，严管学生不假外宿，督促学生按时就寝。第三、学校对中层干部定岗定责，坚持人人有岗，人人有责的原则，明确每位中层干部的岗位职责，鼓励工作尽心尽力，对其多鼓励，少批评，使人人有事干，人人有干事创业的热情，切实提高了学校工作效率和服务水平。第四、明确了</w:t>
      </w:r>
      <w:r>
        <w:rPr>
          <w:rFonts w:hint="eastAsia" w:ascii="宋体" w:hAnsi="宋体" w:eastAsia="宋体" w:cs="宋体"/>
          <w:kern w:val="0"/>
          <w:sz w:val="24"/>
          <w:szCs w:val="24"/>
        </w:rPr>
        <w:t>各部门处室</w:t>
      </w:r>
      <w:r>
        <w:rPr>
          <w:rFonts w:ascii="宋体" w:hAnsi="宋体" w:eastAsia="宋体" w:cs="宋体"/>
          <w:kern w:val="0"/>
          <w:sz w:val="24"/>
          <w:szCs w:val="24"/>
        </w:rPr>
        <w:t>人员的职责，从师生出勤、推门听课、校园卫生死角、食堂饭菜质量监督、寝室卫生、基础设施毁损等全方位的查找问题，发现问题，及时处理。第五、创建微信</w:t>
      </w:r>
      <w:r>
        <w:rPr>
          <w:rFonts w:hint="eastAsia" w:ascii="宋体" w:hAnsi="宋体" w:eastAsia="宋体" w:cs="宋体"/>
          <w:kern w:val="0"/>
          <w:sz w:val="24"/>
          <w:szCs w:val="24"/>
        </w:rPr>
        <w:t>、QQ</w:t>
      </w:r>
      <w:r>
        <w:rPr>
          <w:rFonts w:ascii="宋体" w:hAnsi="宋体" w:eastAsia="宋体" w:cs="宋体"/>
          <w:kern w:val="0"/>
          <w:sz w:val="24"/>
          <w:szCs w:val="24"/>
        </w:rPr>
        <w:t>办公论坛，发现问题及时公布，相关处室对照职责，及时处理，建立问题台账，实行销号制。召开周行政例会，编制周行事历，总结本周工作，明确下周或近期重点工作。第</w:t>
      </w:r>
      <w:r>
        <w:rPr>
          <w:rFonts w:hint="eastAsia" w:ascii="宋体" w:hAnsi="宋体" w:eastAsia="宋体" w:cs="宋体"/>
          <w:kern w:val="0"/>
          <w:sz w:val="24"/>
          <w:szCs w:val="24"/>
        </w:rPr>
        <w:t>六</w:t>
      </w:r>
      <w:r>
        <w:rPr>
          <w:rFonts w:ascii="宋体" w:hAnsi="宋体" w:eastAsia="宋体" w:cs="宋体"/>
          <w:kern w:val="0"/>
          <w:sz w:val="24"/>
          <w:szCs w:val="24"/>
        </w:rPr>
        <w:t>、加强班主任管理，提高班主任待遇。一是调整早晚自习管理，将早晚自习划给纳入班主任管理，相邻的班主任自愿结对共同管理，按照一般超课时给班主任早晚自习报酬。二是根据教育部对班主任的管理制度，学校为其按月发放班主任津贴。三是提高班主任工作在职评中的年限分值。第八、加强骨干教师管理。一是积极鼓励骨干教师外出培训，开阔眼界，吸收新的教学理念。二是发放超课时津贴，让干事的人有回报。三是学校评优评先向骨干教师倾斜，为骨干教师营造干事创业的环境和氛围。</w:t>
      </w:r>
      <w:r>
        <w:rPr>
          <w:rFonts w:ascii="宋体" w:hAnsi="宋体" w:eastAsia="宋体" w:cs="宋体"/>
          <w:kern w:val="0"/>
          <w:sz w:val="24"/>
          <w:szCs w:val="24"/>
        </w:rPr>
        <w:br w:type="textWrapping"/>
      </w:r>
      <w:r>
        <w:rPr>
          <w:rFonts w:ascii="宋体" w:hAnsi="宋体" w:eastAsia="宋体" w:cs="宋体"/>
          <w:kern w:val="0"/>
          <w:sz w:val="24"/>
          <w:szCs w:val="24"/>
        </w:rPr>
        <w:t>3.4.8管理信息化水平。</w:t>
      </w:r>
      <w:r>
        <w:rPr>
          <w:rFonts w:ascii="宋体" w:hAnsi="宋体" w:eastAsia="宋体" w:cs="宋体"/>
          <w:kern w:val="0"/>
          <w:sz w:val="24"/>
          <w:szCs w:val="24"/>
        </w:rPr>
        <w:br w:type="textWrapping"/>
      </w:r>
      <w:r>
        <w:rPr>
          <w:rFonts w:ascii="宋体" w:hAnsi="宋体" w:eastAsia="宋体" w:cs="宋体"/>
          <w:kern w:val="0"/>
          <w:sz w:val="24"/>
          <w:szCs w:val="24"/>
        </w:rPr>
        <w:t>201</w:t>
      </w:r>
      <w:r>
        <w:rPr>
          <w:rFonts w:hint="eastAsia" w:ascii="宋体" w:hAnsi="宋体" w:eastAsia="宋体" w:cs="宋体"/>
          <w:kern w:val="0"/>
          <w:sz w:val="24"/>
          <w:szCs w:val="24"/>
          <w:lang w:val="en-US" w:eastAsia="zh-CN"/>
        </w:rPr>
        <w:t>9</w:t>
      </w:r>
      <w:r>
        <w:rPr>
          <w:rFonts w:ascii="宋体" w:hAnsi="宋体" w:eastAsia="宋体" w:cs="宋体"/>
          <w:kern w:val="0"/>
          <w:sz w:val="24"/>
          <w:szCs w:val="24"/>
        </w:rPr>
        <w:t>年，学校显著加快了学校管理与教学信息化建设的进程，逐年增加投资，以省职业教育教育质量提升工程为契机，积极推进校园OA协同办公，加强校园信息化建设。建成全校的校园安防监控、智能公共广播等系统，全部教室均配置了最新的交互式多媒体一体机教学终端，建成标准</w:t>
      </w:r>
      <w:r>
        <w:rPr>
          <w:rFonts w:hint="eastAsia" w:ascii="宋体" w:hAnsi="宋体" w:eastAsia="宋体" w:cs="宋体"/>
          <w:kern w:val="0"/>
          <w:sz w:val="24"/>
          <w:szCs w:val="24"/>
        </w:rPr>
        <w:t>190</w:t>
      </w:r>
      <w:r>
        <w:rPr>
          <w:rFonts w:ascii="宋体" w:hAnsi="宋体" w:eastAsia="宋体" w:cs="宋体"/>
          <w:kern w:val="0"/>
          <w:sz w:val="24"/>
          <w:szCs w:val="24"/>
        </w:rPr>
        <w:t>个多媒体教室和1个录播教室。</w:t>
      </w:r>
      <w:r>
        <w:rPr>
          <w:rFonts w:ascii="宋体" w:hAnsi="宋体" w:eastAsia="宋体" w:cs="宋体"/>
          <w:kern w:val="0"/>
          <w:sz w:val="24"/>
          <w:szCs w:val="24"/>
        </w:rPr>
        <w:br w:type="textWrapping"/>
      </w:r>
      <w:r>
        <w:rPr>
          <w:rFonts w:ascii="宋体" w:hAnsi="宋体" w:eastAsia="宋体" w:cs="宋体"/>
          <w:kern w:val="0"/>
          <w:sz w:val="24"/>
          <w:szCs w:val="24"/>
        </w:rPr>
        <w:t>学校对全校教职工实施多媒体应用、平台应用技术的全员培训，有效保障和促进了学校管理精细化、科技化、数字化、规范化的各项工作落到实处，实现教学与管理信息互联互通、快速高效的目标，促进学校管理水平再上新台阶。</w:t>
      </w:r>
      <w:r>
        <w:rPr>
          <w:rFonts w:ascii="宋体" w:hAnsi="宋体" w:eastAsia="宋体" w:cs="宋体"/>
          <w:kern w:val="0"/>
          <w:sz w:val="24"/>
          <w:szCs w:val="24"/>
        </w:rPr>
        <w:br w:type="textWrapping"/>
      </w:r>
      <w:r>
        <w:rPr>
          <w:rFonts w:ascii="宋体" w:hAnsi="宋体" w:eastAsia="宋体" w:cs="宋体"/>
          <w:kern w:val="0"/>
          <w:sz w:val="24"/>
          <w:szCs w:val="24"/>
        </w:rPr>
        <w:t>3.5 德育工作情况。</w:t>
      </w:r>
      <w:r>
        <w:rPr>
          <w:rFonts w:ascii="宋体" w:hAnsi="宋体" w:eastAsia="宋体" w:cs="宋体"/>
          <w:kern w:val="0"/>
          <w:sz w:val="24"/>
          <w:szCs w:val="24"/>
        </w:rPr>
        <w:br w:type="textWrapping"/>
      </w:r>
      <w:r>
        <w:rPr>
          <w:rFonts w:ascii="宋体" w:hAnsi="宋体" w:eastAsia="宋体" w:cs="宋体"/>
          <w:kern w:val="0"/>
          <w:sz w:val="24"/>
          <w:szCs w:val="24"/>
        </w:rPr>
        <w:t>3.5.1德育课实施情况。</w:t>
      </w:r>
      <w:r>
        <w:rPr>
          <w:rFonts w:ascii="宋体" w:hAnsi="宋体" w:eastAsia="宋体" w:cs="宋体"/>
          <w:kern w:val="0"/>
          <w:sz w:val="24"/>
          <w:szCs w:val="24"/>
        </w:rPr>
        <w:br w:type="textWrapping"/>
      </w:r>
      <w:r>
        <w:rPr>
          <w:rFonts w:ascii="宋体" w:hAnsi="宋体" w:eastAsia="宋体" w:cs="宋体"/>
          <w:kern w:val="0"/>
          <w:sz w:val="24"/>
          <w:szCs w:val="24"/>
        </w:rPr>
        <w:t>学校开设了《职业道德与法律》等专项德育课程，对学生进行思想品德和法治教育；学校规定周</w:t>
      </w:r>
      <w:r>
        <w:rPr>
          <w:rFonts w:hint="eastAsia" w:ascii="宋体" w:hAnsi="宋体" w:eastAsia="宋体" w:cs="宋体"/>
          <w:kern w:val="0"/>
          <w:sz w:val="24"/>
          <w:szCs w:val="24"/>
        </w:rPr>
        <w:t>日晚</w:t>
      </w:r>
      <w:r>
        <w:rPr>
          <w:rFonts w:ascii="宋体" w:hAnsi="宋体" w:eastAsia="宋体" w:cs="宋体"/>
          <w:kern w:val="0"/>
          <w:sz w:val="24"/>
          <w:szCs w:val="24"/>
        </w:rPr>
        <w:t>自习30分钟为班会时间，对学生加强德育教育；将德育工作融入到各门课程教学当中去；每学期均开设德育主题班会观摩活动。</w:t>
      </w:r>
      <w:r>
        <w:rPr>
          <w:rFonts w:ascii="宋体" w:hAnsi="宋体" w:eastAsia="宋体" w:cs="宋体"/>
          <w:kern w:val="0"/>
          <w:sz w:val="24"/>
          <w:szCs w:val="24"/>
        </w:rPr>
        <w:br w:type="textWrapping"/>
      </w:r>
      <w:r>
        <w:rPr>
          <w:rFonts w:ascii="宋体" w:hAnsi="宋体" w:eastAsia="宋体" w:cs="宋体"/>
          <w:kern w:val="0"/>
          <w:sz w:val="24"/>
          <w:szCs w:val="24"/>
        </w:rPr>
        <w:t>3.5.2校园文化建设。</w:t>
      </w:r>
    </w:p>
    <w:p>
      <w:pPr>
        <w:rPr>
          <w:rFonts w:ascii="宋体" w:hAnsi="宋体" w:eastAsia="宋体" w:cs="宋体"/>
          <w:kern w:val="0"/>
          <w:sz w:val="24"/>
          <w:szCs w:val="24"/>
        </w:rPr>
      </w:pPr>
      <w:r>
        <w:rPr>
          <w:rFonts w:ascii="宋体" w:hAnsi="宋体" w:eastAsia="宋体" w:cs="宋体"/>
          <w:kern w:val="0"/>
          <w:sz w:val="24"/>
          <w:szCs w:val="24"/>
        </w:rPr>
        <w:t>通过开展</w:t>
      </w:r>
      <w:r>
        <w:rPr>
          <w:rFonts w:hint="eastAsia" w:ascii="宋体" w:hAnsi="宋体" w:eastAsia="宋体" w:cs="宋体"/>
          <w:kern w:val="0"/>
          <w:sz w:val="24"/>
          <w:szCs w:val="24"/>
        </w:rPr>
        <w:t>形式多样的团委</w:t>
      </w:r>
      <w:r>
        <w:rPr>
          <w:rFonts w:ascii="宋体" w:hAnsi="宋体" w:eastAsia="宋体" w:cs="宋体"/>
          <w:kern w:val="0"/>
          <w:sz w:val="24"/>
          <w:szCs w:val="24"/>
        </w:rPr>
        <w:t>活动培养学生爱党、爱国、爱家乡的家国情怀，成为爱国的好青年；培养学生爱岗敬业的职业精神，成为企业的好职工；培养学生文明有礼的言行习惯，成为社会的好公民;努力把学生培养成为谦谦君子和温婉淑女。</w:t>
      </w:r>
      <w:r>
        <w:rPr>
          <w:rFonts w:ascii="宋体" w:hAnsi="宋体" w:eastAsia="宋体" w:cs="宋体"/>
          <w:kern w:val="0"/>
          <w:sz w:val="24"/>
          <w:szCs w:val="24"/>
        </w:rPr>
        <w:br w:type="textWrapping"/>
      </w:r>
      <w:r>
        <w:rPr>
          <w:rFonts w:ascii="宋体" w:hAnsi="宋体" w:eastAsia="宋体" w:cs="宋体"/>
          <w:kern w:val="0"/>
          <w:sz w:val="24"/>
          <w:szCs w:val="24"/>
        </w:rPr>
        <w:t>第一、通过开展诚信教育活动、父亲节和母亲节感恩教育活动、企业文化宣传教育活动、“大国工匠”故事会、“我是未来的大国工匠”演讲会，“爱岗敬业”演讲比赛、端午节爱国主义教育等活动，强化学生德行教育。</w:t>
      </w:r>
      <w:r>
        <w:rPr>
          <w:rFonts w:ascii="宋体" w:hAnsi="宋体" w:eastAsia="宋体" w:cs="宋体"/>
          <w:kern w:val="0"/>
          <w:sz w:val="24"/>
          <w:szCs w:val="24"/>
        </w:rPr>
        <w:br w:type="textWrapping"/>
      </w:r>
      <w:r>
        <w:rPr>
          <w:rFonts w:ascii="宋体" w:hAnsi="宋体" w:eastAsia="宋体" w:cs="宋体"/>
          <w:kern w:val="0"/>
          <w:sz w:val="24"/>
          <w:szCs w:val="24"/>
        </w:rPr>
        <w:t>第二、唱响主旋律，培养学生良好的思想情操。通过升旗仪式、国旗下演讲、青年志愿者活动、为乡村学校捐书助学、各种竞赛、征文、主题班会等形式，着重加强了对学生的爱国主义、集体主义、社会主义教育。</w:t>
      </w:r>
      <w:r>
        <w:rPr>
          <w:rFonts w:ascii="宋体" w:hAnsi="宋体" w:eastAsia="宋体" w:cs="宋体"/>
          <w:kern w:val="0"/>
          <w:sz w:val="24"/>
          <w:szCs w:val="24"/>
        </w:rPr>
        <w:br w:type="textWrapping"/>
      </w:r>
      <w:r>
        <w:rPr>
          <w:rFonts w:ascii="宋体" w:hAnsi="宋体" w:eastAsia="宋体" w:cs="宋体"/>
          <w:kern w:val="0"/>
          <w:sz w:val="24"/>
          <w:szCs w:val="24"/>
        </w:rPr>
        <w:t>第三、抓好校风的养成。狠抓学生着装、行为规范，规范学生生活、学习习惯；做好学校卫生责任区划分，以开展卫生评比、黑板报评比等一系列活动，扎实推动师生各方面规范化的养成，使学校基本上形成了一个诚信、文明和谐、安全的校园。</w:t>
      </w:r>
      <w:r>
        <w:rPr>
          <w:rFonts w:ascii="宋体" w:hAnsi="宋体" w:eastAsia="宋体" w:cs="宋体"/>
          <w:kern w:val="0"/>
          <w:sz w:val="24"/>
          <w:szCs w:val="24"/>
        </w:rPr>
        <w:br w:type="textWrapping"/>
      </w:r>
      <w:r>
        <w:rPr>
          <w:rFonts w:ascii="宋体" w:hAnsi="宋体" w:eastAsia="宋体" w:cs="宋体"/>
          <w:kern w:val="0"/>
          <w:sz w:val="24"/>
          <w:szCs w:val="24"/>
        </w:rPr>
        <w:t>第四、开展文明班级评选，为学生营造浓厚的学习氛围。按照班级自愿申报的原则，从班级活动、班风建设、班级学习情况、志愿服务活动等各方面进行综合评比，按照比例评选校级“文明班级”，发奖状，发文明班级创建奖金。学校通过开展“文明班级”评选活动，以评促建，既加强了班级自主管理，也促进了班集体凝聚力的形成，展现了班级的良好精神面貌。</w:t>
      </w:r>
      <w:r>
        <w:rPr>
          <w:rFonts w:ascii="宋体" w:hAnsi="宋体" w:eastAsia="宋体" w:cs="宋体"/>
          <w:kern w:val="0"/>
          <w:sz w:val="24"/>
          <w:szCs w:val="24"/>
        </w:rPr>
        <w:br w:type="textWrapping"/>
      </w:r>
      <w:r>
        <w:rPr>
          <w:rFonts w:ascii="宋体" w:hAnsi="宋体" w:eastAsia="宋体" w:cs="宋体"/>
          <w:kern w:val="0"/>
          <w:sz w:val="24"/>
          <w:szCs w:val="24"/>
        </w:rPr>
        <w:t>第五、开展文明寝室评比活动，强化学生寝室管理。成立寝室管理团队，明确职责，定期开展督查评比，每周二晚上对学生寝室进行综合检查评比，奖励好的，警告差的。聘请宿管员对学生宿舍统一管理，实行来人登记制度，每天按时检查住校生的就寝情况和不定时检查各寝室的纪律、卫生情况，严格实行夜间巡查制度。</w:t>
      </w:r>
      <w:r>
        <w:rPr>
          <w:rFonts w:ascii="宋体" w:hAnsi="宋体" w:eastAsia="宋体" w:cs="宋体"/>
          <w:kern w:val="0"/>
          <w:sz w:val="24"/>
          <w:szCs w:val="24"/>
        </w:rPr>
        <w:br w:type="textWrapping"/>
      </w:r>
      <w:r>
        <w:rPr>
          <w:rFonts w:ascii="宋体" w:hAnsi="宋体" w:eastAsia="宋体" w:cs="宋体"/>
          <w:kern w:val="0"/>
          <w:sz w:val="24"/>
          <w:szCs w:val="24"/>
        </w:rPr>
        <w:t>3.5.</w:t>
      </w:r>
      <w:r>
        <w:rPr>
          <w:rFonts w:hint="eastAsia" w:ascii="宋体" w:hAnsi="宋体" w:eastAsia="宋体" w:cs="宋体"/>
          <w:kern w:val="0"/>
          <w:sz w:val="24"/>
          <w:szCs w:val="24"/>
        </w:rPr>
        <w:t>3</w:t>
      </w:r>
      <w:r>
        <w:rPr>
          <w:rFonts w:ascii="宋体" w:hAnsi="宋体" w:eastAsia="宋体" w:cs="宋体"/>
          <w:kern w:val="0"/>
          <w:sz w:val="24"/>
          <w:szCs w:val="24"/>
        </w:rPr>
        <w:t>社团活动。</w:t>
      </w:r>
      <w:r>
        <w:rPr>
          <w:rFonts w:ascii="宋体" w:hAnsi="宋体" w:eastAsia="宋体" w:cs="宋体"/>
          <w:kern w:val="0"/>
          <w:sz w:val="24"/>
          <w:szCs w:val="24"/>
        </w:rPr>
        <w:br w:type="textWrapping"/>
      </w:r>
      <w:r>
        <w:rPr>
          <w:rFonts w:ascii="宋体" w:hAnsi="宋体" w:eastAsia="宋体" w:cs="宋体"/>
          <w:kern w:val="0"/>
          <w:sz w:val="24"/>
          <w:szCs w:val="24"/>
        </w:rPr>
        <w:t>学校积极开展学生社团活动，努力提升学生素质，着力营造良好的校园文化氛围。201</w:t>
      </w:r>
      <w:r>
        <w:rPr>
          <w:rFonts w:hint="eastAsia" w:ascii="宋体" w:hAnsi="宋体" w:eastAsia="宋体" w:cs="宋体"/>
          <w:kern w:val="0"/>
          <w:sz w:val="24"/>
          <w:szCs w:val="24"/>
          <w:lang w:val="en-US" w:eastAsia="zh-CN"/>
        </w:rPr>
        <w:t>9</w:t>
      </w:r>
      <w:r>
        <w:rPr>
          <w:rFonts w:ascii="宋体" w:hAnsi="宋体" w:eastAsia="宋体" w:cs="宋体"/>
          <w:kern w:val="0"/>
          <w:sz w:val="24"/>
          <w:szCs w:val="24"/>
        </w:rPr>
        <w:t>年，我校各种社团组织</w:t>
      </w:r>
      <w:r>
        <w:rPr>
          <w:rFonts w:hint="eastAsia" w:ascii="宋体" w:hAnsi="宋体" w:eastAsia="宋体" w:cs="宋体"/>
          <w:kern w:val="0"/>
          <w:sz w:val="24"/>
          <w:szCs w:val="24"/>
        </w:rPr>
        <w:t>5</w:t>
      </w:r>
      <w:r>
        <w:rPr>
          <w:rFonts w:ascii="宋体" w:hAnsi="宋体" w:eastAsia="宋体" w:cs="宋体"/>
          <w:kern w:val="0"/>
          <w:sz w:val="24"/>
          <w:szCs w:val="24"/>
        </w:rPr>
        <w:t>个。学校广播站、志愿者协会、文学社、朗诵协会等学生社团活动正常开展。</w:t>
      </w:r>
      <w:r>
        <w:rPr>
          <w:rFonts w:ascii="宋体" w:hAnsi="宋体" w:eastAsia="宋体" w:cs="宋体"/>
          <w:kern w:val="0"/>
          <w:sz w:val="24"/>
          <w:szCs w:val="24"/>
        </w:rPr>
        <w:br w:type="textWrapping"/>
      </w:r>
      <w:r>
        <w:rPr>
          <w:rFonts w:ascii="宋体" w:hAnsi="宋体" w:eastAsia="宋体" w:cs="宋体"/>
          <w:kern w:val="0"/>
          <w:sz w:val="24"/>
          <w:szCs w:val="24"/>
        </w:rPr>
        <w:t>3.5.</w:t>
      </w:r>
      <w:r>
        <w:rPr>
          <w:rFonts w:hint="eastAsia" w:ascii="宋体" w:hAnsi="宋体" w:eastAsia="宋体" w:cs="宋体"/>
          <w:kern w:val="0"/>
          <w:sz w:val="24"/>
          <w:szCs w:val="24"/>
        </w:rPr>
        <w:t>4</w:t>
      </w:r>
      <w:r>
        <w:rPr>
          <w:rFonts w:ascii="宋体" w:hAnsi="宋体" w:eastAsia="宋体" w:cs="宋体"/>
          <w:kern w:val="0"/>
          <w:sz w:val="24"/>
          <w:szCs w:val="24"/>
        </w:rPr>
        <w:t>加强团组织和学生会建设。</w:t>
      </w:r>
      <w:r>
        <w:rPr>
          <w:rFonts w:ascii="宋体" w:hAnsi="宋体" w:eastAsia="宋体" w:cs="宋体"/>
          <w:kern w:val="0"/>
          <w:sz w:val="24"/>
          <w:szCs w:val="24"/>
        </w:rPr>
        <w:br w:type="textWrapping"/>
      </w:r>
      <w:r>
        <w:rPr>
          <w:rFonts w:ascii="宋体" w:hAnsi="宋体" w:eastAsia="宋体" w:cs="宋体"/>
          <w:kern w:val="0"/>
          <w:sz w:val="24"/>
          <w:szCs w:val="24"/>
        </w:rPr>
        <w:t>一是社团创建实行报批制。建立相关制度，定期召开各种活动，发挥其作用。</w:t>
      </w:r>
      <w:r>
        <w:rPr>
          <w:rFonts w:ascii="宋体" w:hAnsi="宋体" w:eastAsia="宋体" w:cs="宋体"/>
          <w:kern w:val="0"/>
          <w:sz w:val="24"/>
          <w:szCs w:val="24"/>
        </w:rPr>
        <w:br w:type="textWrapping"/>
      </w:r>
      <w:r>
        <w:rPr>
          <w:rFonts w:ascii="宋体" w:hAnsi="宋体" w:eastAsia="宋体" w:cs="宋体"/>
          <w:kern w:val="0"/>
          <w:sz w:val="24"/>
          <w:szCs w:val="24"/>
        </w:rPr>
        <w:t>二是实行一年一次换届，实行代代相传，有团委、政教处专门监督管理。</w:t>
      </w:r>
      <w:r>
        <w:rPr>
          <w:rFonts w:ascii="宋体" w:hAnsi="宋体" w:eastAsia="宋体" w:cs="宋体"/>
          <w:kern w:val="0"/>
          <w:sz w:val="24"/>
          <w:szCs w:val="24"/>
        </w:rPr>
        <w:br w:type="textWrapping"/>
      </w:r>
      <w:r>
        <w:rPr>
          <w:rFonts w:ascii="宋体" w:hAnsi="宋体" w:eastAsia="宋体" w:cs="宋体"/>
          <w:kern w:val="0"/>
          <w:sz w:val="24"/>
          <w:szCs w:val="24"/>
        </w:rPr>
        <w:t>三是成立学生会，发挥学生会自主管理能力。学生会是我校最大的社团组织，有校学生会和专业部学生会，负责学校相关活动，参与学校管理。实行定期换届。</w:t>
      </w:r>
      <w:r>
        <w:rPr>
          <w:rFonts w:ascii="宋体" w:hAnsi="宋体" w:eastAsia="宋体" w:cs="宋体"/>
          <w:kern w:val="0"/>
          <w:sz w:val="24"/>
          <w:szCs w:val="24"/>
        </w:rPr>
        <w:br w:type="textWrapping"/>
      </w:r>
      <w:r>
        <w:rPr>
          <w:rFonts w:ascii="宋体" w:hAnsi="宋体" w:eastAsia="宋体" w:cs="宋体"/>
          <w:kern w:val="0"/>
          <w:sz w:val="24"/>
          <w:szCs w:val="24"/>
        </w:rPr>
        <w:t>3.6党建情况。</w:t>
      </w:r>
      <w:r>
        <w:rPr>
          <w:rFonts w:ascii="宋体" w:hAnsi="宋体" w:eastAsia="宋体" w:cs="宋体"/>
          <w:kern w:val="0"/>
          <w:sz w:val="24"/>
          <w:szCs w:val="24"/>
        </w:rPr>
        <w:br w:type="textWrapping"/>
      </w:r>
      <w:r>
        <w:rPr>
          <w:rFonts w:ascii="宋体" w:hAnsi="宋体" w:eastAsia="宋体" w:cs="宋体"/>
          <w:kern w:val="0"/>
          <w:sz w:val="24"/>
          <w:szCs w:val="24"/>
        </w:rPr>
        <w:t>3.6.1扎实开展党建工作，全面加强党的统一领导。</w:t>
      </w:r>
      <w:r>
        <w:rPr>
          <w:rFonts w:ascii="宋体" w:hAnsi="宋体" w:eastAsia="宋体" w:cs="宋体"/>
          <w:kern w:val="0"/>
          <w:sz w:val="24"/>
          <w:szCs w:val="24"/>
        </w:rPr>
        <w:br w:type="textWrapping"/>
      </w:r>
      <w:r>
        <w:rPr>
          <w:rFonts w:ascii="宋体" w:hAnsi="宋体" w:eastAsia="宋体" w:cs="宋体"/>
          <w:kern w:val="0"/>
          <w:sz w:val="24"/>
          <w:szCs w:val="24"/>
        </w:rPr>
        <w:t>1、加强理论学习，提升政治素质。一是组织广大干部师生员工认真研读党的十九大相关文件，学习习近平新时代中国特色社会主义思想，认真做好学习笔记，并撰写心得体会。</w:t>
      </w:r>
      <w:r>
        <w:rPr>
          <w:rFonts w:ascii="宋体" w:hAnsi="宋体" w:eastAsia="宋体" w:cs="宋体"/>
          <w:kern w:val="0"/>
          <w:sz w:val="24"/>
          <w:szCs w:val="24"/>
        </w:rPr>
        <w:br w:type="textWrapping"/>
      </w:r>
      <w:r>
        <w:rPr>
          <w:rFonts w:ascii="宋体" w:hAnsi="宋体" w:eastAsia="宋体" w:cs="宋体"/>
          <w:kern w:val="0"/>
          <w:sz w:val="24"/>
          <w:szCs w:val="24"/>
        </w:rPr>
        <w:t>2、牢固树立“四个意识”，坚定“四个自信”，做到“四个服从”，在思想上、政治上及行动上同以习近平为核心的党中央保持高度一致，不折不扣地贯彻落实中央、省、市决策部署，确保政令畅通。严格遵守党章和党内规章制度，带头改进工作作风，遵守领导干部廉洁从政各项规定。统一思想，提高党员政治站位。</w:t>
      </w:r>
      <w:r>
        <w:rPr>
          <w:rFonts w:ascii="宋体" w:hAnsi="宋体" w:eastAsia="宋体" w:cs="宋体"/>
          <w:kern w:val="0"/>
          <w:sz w:val="24"/>
          <w:szCs w:val="24"/>
        </w:rPr>
        <w:br w:type="textWrapping"/>
      </w:r>
      <w:r>
        <w:rPr>
          <w:rFonts w:ascii="宋体" w:hAnsi="宋体" w:eastAsia="宋体" w:cs="宋体"/>
          <w:kern w:val="0"/>
          <w:sz w:val="24"/>
          <w:szCs w:val="24"/>
        </w:rPr>
        <w:t>3、进一步健全党内制度，提高党内</w:t>
      </w:r>
      <w:bookmarkStart w:id="0" w:name="_GoBack"/>
      <w:bookmarkEnd w:id="0"/>
      <w:r>
        <w:rPr>
          <w:rFonts w:ascii="宋体" w:hAnsi="宋体" w:eastAsia="宋体" w:cs="宋体"/>
          <w:kern w:val="0"/>
          <w:sz w:val="24"/>
          <w:szCs w:val="24"/>
        </w:rPr>
        <w:t>生活质量。认真落实“三会一课”制度、党费收缴制度、党员学习制度、党员发展制度等，以规范的制度管理，促进提高党内生活质量。</w:t>
      </w:r>
      <w:r>
        <w:rPr>
          <w:rFonts w:ascii="宋体" w:hAnsi="宋体" w:eastAsia="宋体" w:cs="宋体"/>
          <w:kern w:val="0"/>
          <w:sz w:val="24"/>
          <w:szCs w:val="24"/>
        </w:rPr>
        <w:br w:type="textWrapping"/>
      </w:r>
      <w:r>
        <w:rPr>
          <w:rFonts w:ascii="宋体" w:hAnsi="宋体" w:eastAsia="宋体" w:cs="宋体"/>
          <w:kern w:val="0"/>
          <w:sz w:val="24"/>
          <w:szCs w:val="24"/>
        </w:rPr>
        <w:t>4、规范党总支学习规范化、定期化，学习形式多样化，做到中央政令不折不扣贯彻落实。一是定期召开中心组学习，学习十九大精神、习近平重要系列讲话精神和党内重要文件、法规制度等。二是严格执行“三会一课”，组织支部全体党员定期开展学习。三是按要求召开好党总支民主生活会和支部一年两次的组织生活会。</w:t>
      </w:r>
      <w:r>
        <w:rPr>
          <w:rFonts w:ascii="宋体" w:hAnsi="宋体" w:eastAsia="宋体" w:cs="宋体"/>
          <w:kern w:val="0"/>
          <w:sz w:val="24"/>
          <w:szCs w:val="24"/>
        </w:rPr>
        <w:br w:type="textWrapping"/>
      </w:r>
      <w:r>
        <w:rPr>
          <w:rFonts w:ascii="宋体" w:hAnsi="宋体" w:eastAsia="宋体" w:cs="宋体"/>
          <w:kern w:val="0"/>
          <w:sz w:val="24"/>
          <w:szCs w:val="24"/>
        </w:rPr>
        <w:t>5、学校</w:t>
      </w:r>
      <w:r>
        <w:rPr>
          <w:rFonts w:hint="eastAsia" w:ascii="宋体" w:hAnsi="宋体" w:eastAsia="宋体" w:cs="宋体"/>
          <w:kern w:val="0"/>
          <w:sz w:val="24"/>
          <w:szCs w:val="24"/>
        </w:rPr>
        <w:t>一</w:t>
      </w:r>
      <w:r>
        <w:rPr>
          <w:rFonts w:ascii="宋体" w:hAnsi="宋体" w:eastAsia="宋体" w:cs="宋体"/>
          <w:kern w:val="0"/>
          <w:sz w:val="24"/>
          <w:szCs w:val="24"/>
        </w:rPr>
        <w:t>个党支部按照规定程序、经批准，在201</w:t>
      </w:r>
      <w:r>
        <w:rPr>
          <w:rFonts w:hint="eastAsia" w:ascii="宋体" w:hAnsi="宋体" w:eastAsia="宋体" w:cs="宋体"/>
          <w:kern w:val="0"/>
          <w:sz w:val="24"/>
          <w:szCs w:val="24"/>
          <w:lang w:val="en-US" w:eastAsia="zh-CN"/>
        </w:rPr>
        <w:t>9</w:t>
      </w:r>
      <w:r>
        <w:rPr>
          <w:rFonts w:ascii="宋体" w:hAnsi="宋体" w:eastAsia="宋体" w:cs="宋体"/>
          <w:kern w:val="0"/>
          <w:sz w:val="24"/>
          <w:szCs w:val="24"/>
        </w:rPr>
        <w:t>年成功举办换届选举工作，完成支委新老交替工作。</w:t>
      </w:r>
      <w:r>
        <w:rPr>
          <w:rFonts w:ascii="宋体" w:hAnsi="宋体" w:eastAsia="宋体" w:cs="宋体"/>
          <w:kern w:val="0"/>
          <w:sz w:val="24"/>
          <w:szCs w:val="24"/>
        </w:rPr>
        <w:br w:type="textWrapping"/>
      </w:r>
      <w:r>
        <w:rPr>
          <w:rFonts w:ascii="宋体" w:hAnsi="宋体" w:eastAsia="宋体" w:cs="宋体"/>
          <w:kern w:val="0"/>
          <w:sz w:val="24"/>
          <w:szCs w:val="24"/>
        </w:rPr>
        <w:t>6、开展丰富多彩的活动，丰富党建内容。一是开展“讲、严、立”专题警示教育活动，强化忠诚意识、严守纪律规矩，树立良好政德，进一步激励广大党员干部新时代新担当新作为。二是每月10日之前开展党员活动日，到临泉韦寨刘邓大军淮西指挥部开展“不忘初心，永远跟党走”活动，到监狱、市廉政教育基地接受警示教育，举办“粽香情”端午节包粽子开展爱国主义教育活动。三是开展基层党组织标准化建设工作。实现基层党组织规范化设置，推进党内组织生活标准化，认真落实“三会一课”、民主评议党员等基本制度，党内各项组织生活正常规范、严肃认真，党员参与率高、教育效果好。推进场所规范建设，丰富场所服务功能，做到硬件配置齐全、场所功能完备，较好满足党员活动需要，基层党组织基础保障水平明显提升。保证基层党建工作正常开展，按标准建立年度工作计划、年终工作总结、党员花名册、组织架构图、党费收缴、组织关系转接等台账资料，确保基层党组织有人干事、有钱办事、能办成事。通过开展基层党组织标准化建设工作，党建工作意识明显增强、党员队伍素质明显提升、组织基础建设明显夯实、创建质量明显提高，充分激发了党员的工作积极性，党组织凝聚力和党员先锋模范作用明显增强。</w:t>
      </w:r>
      <w:r>
        <w:rPr>
          <w:rFonts w:ascii="宋体" w:hAnsi="宋体" w:eastAsia="宋体" w:cs="宋体"/>
          <w:kern w:val="0"/>
          <w:sz w:val="24"/>
          <w:szCs w:val="24"/>
        </w:rPr>
        <w:br w:type="textWrapping"/>
      </w:r>
      <w:r>
        <w:rPr>
          <w:rFonts w:ascii="宋体" w:hAnsi="宋体" w:eastAsia="宋体" w:cs="宋体"/>
          <w:kern w:val="0"/>
          <w:sz w:val="24"/>
          <w:szCs w:val="24"/>
        </w:rPr>
        <w:t>3.6.2深化党风廉政建设，严格落实依法办学理念。</w:t>
      </w:r>
    </w:p>
    <w:p>
      <w:pPr>
        <w:rPr>
          <w:rFonts w:ascii="宋体" w:hAnsi="宋体" w:eastAsia="宋体" w:cs="宋体"/>
          <w:kern w:val="0"/>
          <w:sz w:val="24"/>
          <w:szCs w:val="24"/>
        </w:rPr>
      </w:pPr>
      <w:r>
        <w:rPr>
          <w:rFonts w:ascii="宋体" w:hAnsi="宋体" w:eastAsia="宋体" w:cs="宋体"/>
          <w:kern w:val="0"/>
          <w:sz w:val="24"/>
          <w:szCs w:val="24"/>
        </w:rPr>
        <w:t>认真执行党风廉政建设责任制，严格落实中央八项规定、省三十条和市三十六条。坚持民主集中制，发挥领导核心作用。严禁酒桌办公，学校管理干部和教职员工婚丧嫁娶实行申报制度，严格落实阜阳机关党员干部婚丧嫁娶规定。制定项目审批和财务报销程序制度，规范学校项目审批和财务报销程序。依法办学，规范招生，坚决抵制有偿招生。规范教学用书管理和征订工作。做好党务、校务公开工作。学校发展党员、师资培训、评优评先、职称评聘、年度考核、财务开支等情况，均在党务校务公开栏中公示，同时经常听取教职工对学校工作的意见和建议，大大增强教职工建言献策的主动性和积极性。</w:t>
      </w:r>
      <w:r>
        <w:rPr>
          <w:rFonts w:ascii="宋体" w:hAnsi="宋体" w:eastAsia="宋体" w:cs="宋体"/>
          <w:kern w:val="0"/>
          <w:sz w:val="24"/>
          <w:szCs w:val="24"/>
        </w:rPr>
        <w:br w:type="textWrapping"/>
      </w:r>
      <w:r>
        <w:rPr>
          <w:rFonts w:ascii="宋体" w:hAnsi="宋体" w:eastAsia="宋体" w:cs="宋体"/>
          <w:kern w:val="0"/>
          <w:sz w:val="24"/>
          <w:szCs w:val="24"/>
        </w:rPr>
        <w:t>4.校企合作</w:t>
      </w:r>
      <w:r>
        <w:rPr>
          <w:rFonts w:ascii="宋体" w:hAnsi="宋体" w:eastAsia="宋体" w:cs="宋体"/>
          <w:kern w:val="0"/>
          <w:sz w:val="24"/>
          <w:szCs w:val="24"/>
        </w:rPr>
        <w:br w:type="textWrapping"/>
      </w:r>
      <w:r>
        <w:rPr>
          <w:rFonts w:ascii="宋体" w:hAnsi="宋体" w:eastAsia="宋体" w:cs="宋体"/>
          <w:kern w:val="0"/>
          <w:sz w:val="24"/>
          <w:szCs w:val="24"/>
        </w:rPr>
        <w:t>4.1校企合作开展情况和效果。</w:t>
      </w:r>
      <w:r>
        <w:rPr>
          <w:rFonts w:ascii="宋体" w:hAnsi="宋体" w:eastAsia="宋体" w:cs="宋体"/>
          <w:kern w:val="0"/>
          <w:sz w:val="24"/>
          <w:szCs w:val="24"/>
        </w:rPr>
        <w:br w:type="textWrapping"/>
      </w:r>
      <w:r>
        <w:rPr>
          <w:rFonts w:ascii="宋体" w:hAnsi="宋体" w:eastAsia="宋体" w:cs="宋体"/>
          <w:kern w:val="0"/>
          <w:sz w:val="24"/>
          <w:szCs w:val="24"/>
        </w:rPr>
        <w:t>201</w:t>
      </w:r>
      <w:r>
        <w:rPr>
          <w:rFonts w:hint="eastAsia" w:ascii="宋体" w:hAnsi="宋体" w:eastAsia="宋体" w:cs="宋体"/>
          <w:kern w:val="0"/>
          <w:sz w:val="24"/>
          <w:szCs w:val="24"/>
          <w:lang w:val="en-US" w:eastAsia="zh-CN"/>
        </w:rPr>
        <w:t>9</w:t>
      </w:r>
      <w:r>
        <w:rPr>
          <w:rFonts w:ascii="宋体" w:hAnsi="宋体" w:eastAsia="宋体" w:cs="宋体"/>
          <w:kern w:val="0"/>
          <w:sz w:val="24"/>
          <w:szCs w:val="24"/>
        </w:rPr>
        <w:t>年，学校坚持以服务社会为宗旨，探索校企合作的新途径，想方设法拉近学生与岗位，学生与企业的距离，在“校企合作”等方面取得了一定的成效。学校积极深度开展校企合作，高质量地服务地方经济社会发展，与</w:t>
      </w:r>
      <w:r>
        <w:rPr>
          <w:rFonts w:hint="eastAsia" w:ascii="宋体" w:hAnsi="宋体" w:eastAsia="宋体" w:cs="宋体"/>
          <w:kern w:val="0"/>
          <w:sz w:val="24"/>
          <w:szCs w:val="24"/>
        </w:rPr>
        <w:t>阜阳第一大药房、阜阳聚缘堂</w:t>
      </w:r>
      <w:r>
        <w:rPr>
          <w:rFonts w:ascii="宋体" w:hAnsi="宋体" w:eastAsia="宋体" w:cs="宋体"/>
          <w:kern w:val="0"/>
          <w:sz w:val="24"/>
          <w:szCs w:val="24"/>
        </w:rPr>
        <w:t>等</w:t>
      </w:r>
      <w:r>
        <w:rPr>
          <w:rFonts w:hint="eastAsia" w:ascii="宋体" w:hAnsi="宋体" w:eastAsia="宋体" w:cs="宋体"/>
          <w:kern w:val="0"/>
          <w:sz w:val="24"/>
          <w:szCs w:val="24"/>
        </w:rPr>
        <w:t>4</w:t>
      </w:r>
      <w:r>
        <w:rPr>
          <w:rFonts w:ascii="宋体" w:hAnsi="宋体" w:eastAsia="宋体" w:cs="宋体"/>
          <w:kern w:val="0"/>
          <w:sz w:val="24"/>
          <w:szCs w:val="24"/>
        </w:rPr>
        <w:t>家国内大型</w:t>
      </w:r>
      <w:r>
        <w:rPr>
          <w:rFonts w:hint="eastAsia" w:ascii="宋体" w:hAnsi="宋体" w:eastAsia="宋体" w:cs="宋体"/>
          <w:kern w:val="0"/>
          <w:sz w:val="24"/>
          <w:szCs w:val="24"/>
        </w:rPr>
        <w:t>医药</w:t>
      </w:r>
      <w:r>
        <w:rPr>
          <w:rFonts w:ascii="宋体" w:hAnsi="宋体" w:eastAsia="宋体" w:cs="宋体"/>
          <w:kern w:val="0"/>
          <w:sz w:val="24"/>
          <w:szCs w:val="24"/>
        </w:rPr>
        <w:t>企业建立了紧密型校企合作关系</w:t>
      </w:r>
    </w:p>
    <w:p>
      <w:pPr>
        <w:rPr>
          <w:rFonts w:ascii="宋体" w:hAnsi="宋体" w:eastAsia="宋体" w:cs="宋体"/>
          <w:kern w:val="0"/>
          <w:sz w:val="24"/>
          <w:szCs w:val="24"/>
        </w:rPr>
      </w:pPr>
      <w:r>
        <w:rPr>
          <w:rFonts w:ascii="宋体" w:hAnsi="宋体" w:eastAsia="宋体" w:cs="宋体"/>
          <w:kern w:val="0"/>
          <w:sz w:val="24"/>
          <w:szCs w:val="24"/>
        </w:rPr>
        <w:t xml:space="preserve"> 4.2 学生实习情况。</w:t>
      </w:r>
      <w:r>
        <w:rPr>
          <w:rFonts w:ascii="宋体" w:hAnsi="宋体" w:eastAsia="宋体" w:cs="宋体"/>
          <w:kern w:val="0"/>
          <w:sz w:val="24"/>
          <w:szCs w:val="24"/>
        </w:rPr>
        <w:br w:type="textWrapping"/>
      </w:r>
      <w:r>
        <w:rPr>
          <w:rFonts w:ascii="宋体" w:hAnsi="宋体" w:eastAsia="宋体" w:cs="宋体"/>
          <w:kern w:val="0"/>
          <w:sz w:val="24"/>
          <w:szCs w:val="24"/>
        </w:rPr>
        <w:t>4.2.1广泛开辟就业渠道，建立就业网点。与</w:t>
      </w:r>
      <w:r>
        <w:rPr>
          <w:rFonts w:hint="eastAsia" w:ascii="宋体" w:hAnsi="宋体" w:eastAsia="宋体" w:cs="宋体"/>
          <w:kern w:val="0"/>
          <w:sz w:val="24"/>
          <w:szCs w:val="24"/>
        </w:rPr>
        <w:t>阜阳第一大药房、阜阳聚缘堂、江苏勤善堂、苏州美福堂</w:t>
      </w:r>
      <w:r>
        <w:rPr>
          <w:rFonts w:ascii="宋体" w:hAnsi="宋体" w:eastAsia="宋体" w:cs="宋体"/>
          <w:kern w:val="0"/>
          <w:sz w:val="24"/>
          <w:szCs w:val="24"/>
        </w:rPr>
        <w:t>等企业建立长期合作机制，每年定期举行实习就业洽谈会。</w:t>
      </w:r>
      <w:r>
        <w:rPr>
          <w:rFonts w:ascii="宋体" w:hAnsi="宋体" w:eastAsia="宋体" w:cs="宋体"/>
          <w:kern w:val="0"/>
          <w:sz w:val="24"/>
          <w:szCs w:val="24"/>
        </w:rPr>
        <w:br w:type="textWrapping"/>
      </w:r>
      <w:r>
        <w:rPr>
          <w:rFonts w:ascii="宋体" w:hAnsi="宋体" w:eastAsia="宋体" w:cs="宋体"/>
          <w:kern w:val="0"/>
          <w:sz w:val="24"/>
          <w:szCs w:val="24"/>
        </w:rPr>
        <w:t>4.2.</w:t>
      </w:r>
      <w:r>
        <w:rPr>
          <w:rFonts w:hint="eastAsia" w:ascii="宋体" w:hAnsi="宋体" w:eastAsia="宋体" w:cs="宋体"/>
          <w:kern w:val="0"/>
          <w:sz w:val="24"/>
          <w:szCs w:val="24"/>
        </w:rPr>
        <w:t>2</w:t>
      </w:r>
      <w:r>
        <w:rPr>
          <w:rFonts w:ascii="宋体" w:hAnsi="宋体" w:eastAsia="宋体" w:cs="宋体"/>
          <w:kern w:val="0"/>
          <w:sz w:val="24"/>
          <w:szCs w:val="24"/>
        </w:rPr>
        <w:t>通过校企合作，完善我校“双师型”教师队伍建设。选派青年专业教师到企业实践学习，从企业引进专业技术人员作兼职教师。有效地促进了学校教师向“双师型”的转化。</w:t>
      </w:r>
      <w:r>
        <w:rPr>
          <w:rFonts w:ascii="宋体" w:hAnsi="宋体" w:eastAsia="宋体" w:cs="宋体"/>
          <w:kern w:val="0"/>
          <w:sz w:val="24"/>
          <w:szCs w:val="24"/>
        </w:rPr>
        <w:br w:type="textWrapping"/>
      </w:r>
      <w:r>
        <w:rPr>
          <w:rFonts w:ascii="宋体" w:hAnsi="宋体" w:eastAsia="宋体" w:cs="宋体"/>
          <w:kern w:val="0"/>
          <w:sz w:val="24"/>
          <w:szCs w:val="24"/>
        </w:rPr>
        <w:t>4.2.</w:t>
      </w:r>
      <w:r>
        <w:rPr>
          <w:rFonts w:hint="eastAsia" w:ascii="宋体" w:hAnsi="宋体" w:eastAsia="宋体" w:cs="宋体"/>
          <w:kern w:val="0"/>
          <w:sz w:val="24"/>
          <w:szCs w:val="24"/>
        </w:rPr>
        <w:t>3</w:t>
      </w:r>
      <w:r>
        <w:rPr>
          <w:rFonts w:ascii="宋体" w:hAnsi="宋体" w:eastAsia="宋体" w:cs="宋体"/>
          <w:kern w:val="0"/>
          <w:sz w:val="24"/>
          <w:szCs w:val="24"/>
        </w:rPr>
        <w:t>通过企业行业标准，指导校内实训基地建设。通过企业的行业标准来建设校内实训基地。</w:t>
      </w:r>
      <w:r>
        <w:rPr>
          <w:rFonts w:ascii="宋体" w:hAnsi="宋体" w:eastAsia="宋体" w:cs="宋体"/>
          <w:kern w:val="0"/>
          <w:sz w:val="24"/>
          <w:szCs w:val="24"/>
        </w:rPr>
        <w:br w:type="textWrapping"/>
      </w:r>
      <w:r>
        <w:rPr>
          <w:rFonts w:ascii="宋体" w:hAnsi="宋体" w:eastAsia="宋体" w:cs="宋体"/>
          <w:kern w:val="0"/>
          <w:sz w:val="24"/>
          <w:szCs w:val="24"/>
        </w:rPr>
        <w:t>4.3集团化办学情况。为贯彻落实《国务院关于加快发展现代职业教育的决定》（国发[2014]19号）文件中，关于“鼓励多元化主体组建职业教育集团”的精神，结合我校招生困难的现状，我校</w:t>
      </w:r>
      <w:r>
        <w:rPr>
          <w:rFonts w:hint="eastAsia" w:ascii="宋体" w:hAnsi="宋体" w:eastAsia="宋体" w:cs="宋体"/>
          <w:kern w:val="0"/>
          <w:sz w:val="24"/>
          <w:szCs w:val="24"/>
        </w:rPr>
        <w:t>正</w:t>
      </w:r>
      <w:r>
        <w:rPr>
          <w:rFonts w:ascii="宋体" w:hAnsi="宋体" w:eastAsia="宋体" w:cs="宋体"/>
          <w:kern w:val="0"/>
          <w:sz w:val="24"/>
          <w:szCs w:val="24"/>
        </w:rPr>
        <w:t>大胆尝试</w:t>
      </w:r>
      <w:r>
        <w:rPr>
          <w:rFonts w:hint="eastAsia" w:ascii="宋体" w:hAnsi="宋体" w:eastAsia="宋体" w:cs="宋体"/>
          <w:kern w:val="0"/>
          <w:sz w:val="24"/>
          <w:szCs w:val="24"/>
        </w:rPr>
        <w:t>与企业集团办学事宜。</w:t>
      </w:r>
    </w:p>
    <w:p>
      <w:pPr>
        <w:rPr>
          <w:rFonts w:ascii="宋体" w:hAnsi="宋体" w:eastAsia="宋体" w:cs="宋体"/>
          <w:kern w:val="0"/>
          <w:sz w:val="24"/>
          <w:szCs w:val="24"/>
        </w:rPr>
      </w:pPr>
      <w:r>
        <w:rPr>
          <w:rFonts w:ascii="宋体" w:hAnsi="宋体" w:eastAsia="宋体" w:cs="宋体"/>
          <w:kern w:val="0"/>
          <w:sz w:val="24"/>
          <w:szCs w:val="24"/>
        </w:rPr>
        <w:t>5.社会贡献</w:t>
      </w:r>
      <w:r>
        <w:rPr>
          <w:rFonts w:ascii="宋体" w:hAnsi="宋体" w:eastAsia="宋体" w:cs="宋体"/>
          <w:kern w:val="0"/>
          <w:sz w:val="24"/>
          <w:szCs w:val="24"/>
        </w:rPr>
        <w:br w:type="textWrapping"/>
      </w:r>
      <w:r>
        <w:rPr>
          <w:rFonts w:ascii="宋体" w:hAnsi="宋体" w:eastAsia="宋体" w:cs="宋体"/>
          <w:kern w:val="0"/>
          <w:sz w:val="24"/>
          <w:szCs w:val="24"/>
        </w:rPr>
        <w:t>5.1技术技能人才培养。</w:t>
      </w:r>
      <w:r>
        <w:rPr>
          <w:rFonts w:ascii="宋体" w:hAnsi="宋体" w:eastAsia="宋体" w:cs="宋体"/>
          <w:kern w:val="0"/>
          <w:sz w:val="24"/>
          <w:szCs w:val="24"/>
        </w:rPr>
        <w:br w:type="textWrapping"/>
      </w:r>
      <w:r>
        <w:rPr>
          <w:rFonts w:ascii="宋体" w:hAnsi="宋体" w:eastAsia="宋体" w:cs="宋体"/>
          <w:kern w:val="0"/>
          <w:sz w:val="24"/>
          <w:szCs w:val="24"/>
        </w:rPr>
        <w:t>学校以培养专业技术应用型人才为目标，文化知识和专业技能并举, 职业资格证书与毕业证书双证并重。学校积极服务地方经济，</w:t>
      </w:r>
      <w:r>
        <w:rPr>
          <w:rFonts w:hint="eastAsia" w:ascii="宋体" w:hAnsi="宋体" w:eastAsia="宋体" w:cs="宋体"/>
          <w:kern w:val="0"/>
          <w:sz w:val="24"/>
          <w:szCs w:val="24"/>
        </w:rPr>
        <w:t>每年</w:t>
      </w:r>
      <w:r>
        <w:rPr>
          <w:rFonts w:ascii="宋体" w:hAnsi="宋体" w:eastAsia="宋体" w:cs="宋体"/>
          <w:kern w:val="0"/>
          <w:sz w:val="24"/>
          <w:szCs w:val="24"/>
        </w:rPr>
        <w:t>为社会输送</w:t>
      </w:r>
      <w:r>
        <w:rPr>
          <w:rFonts w:hint="eastAsia" w:ascii="宋体" w:hAnsi="宋体" w:eastAsia="宋体" w:cs="宋体"/>
          <w:kern w:val="0"/>
          <w:sz w:val="24"/>
          <w:szCs w:val="24"/>
        </w:rPr>
        <w:t>几百名</w:t>
      </w:r>
      <w:r>
        <w:rPr>
          <w:rFonts w:ascii="宋体" w:hAnsi="宋体" w:eastAsia="宋体" w:cs="宋体"/>
          <w:kern w:val="0"/>
          <w:sz w:val="24"/>
          <w:szCs w:val="24"/>
        </w:rPr>
        <w:t>优秀毕业生，学生良好的职业素养、扎实的专业技能受到企业欢迎。一是加大课堂实践教学比重。把技能训练目标落实到每一章节。实现以技能促理论，以理论强技能。二是发挥二课堂作用。各种兴趣小组为部分有爱好有特长的学生提供快乐学习的场所和展示自我、获得自信的平台，丰富学生校园生活。</w:t>
      </w:r>
      <w:r>
        <w:rPr>
          <w:rFonts w:ascii="宋体" w:hAnsi="宋体" w:eastAsia="宋体" w:cs="宋体"/>
          <w:kern w:val="0"/>
          <w:sz w:val="24"/>
          <w:szCs w:val="24"/>
        </w:rPr>
        <w:br w:type="textWrapping"/>
      </w:r>
      <w:r>
        <w:rPr>
          <w:rFonts w:ascii="宋体" w:hAnsi="宋体" w:eastAsia="宋体" w:cs="宋体"/>
          <w:kern w:val="0"/>
          <w:sz w:val="24"/>
          <w:szCs w:val="24"/>
        </w:rPr>
        <w:t>5.2社会服务。</w:t>
      </w:r>
      <w:r>
        <w:rPr>
          <w:rFonts w:ascii="宋体" w:hAnsi="宋体" w:eastAsia="宋体" w:cs="宋体"/>
          <w:kern w:val="0"/>
          <w:sz w:val="24"/>
          <w:szCs w:val="24"/>
        </w:rPr>
        <w:br w:type="textWrapping"/>
      </w:r>
      <w:r>
        <w:rPr>
          <w:rFonts w:ascii="宋体" w:hAnsi="宋体" w:eastAsia="宋体" w:cs="宋体"/>
          <w:kern w:val="0"/>
          <w:sz w:val="24"/>
          <w:szCs w:val="24"/>
        </w:rPr>
        <w:t>5.2.1服务社会。学校建有社会培训、技能培训等教学支持服务团队，积极面向企业和社会开展多种形式的职业培训，在师资、场地、设施设备等各个方面对社会各界提供支持服务。201</w:t>
      </w:r>
      <w:r>
        <w:rPr>
          <w:rFonts w:hint="eastAsia" w:ascii="宋体" w:hAnsi="宋体" w:eastAsia="宋体" w:cs="宋体"/>
          <w:kern w:val="0"/>
          <w:sz w:val="24"/>
          <w:szCs w:val="24"/>
          <w:lang w:val="en-US" w:eastAsia="zh-CN"/>
        </w:rPr>
        <w:t>9</w:t>
      </w:r>
      <w:r>
        <w:rPr>
          <w:rFonts w:ascii="宋体" w:hAnsi="宋体" w:eastAsia="宋体" w:cs="宋体"/>
          <w:kern w:val="0"/>
          <w:sz w:val="24"/>
          <w:szCs w:val="24"/>
        </w:rPr>
        <w:t>年共培训1</w:t>
      </w:r>
      <w:r>
        <w:rPr>
          <w:rFonts w:hint="eastAsia" w:ascii="宋体" w:hAnsi="宋体" w:eastAsia="宋体" w:cs="宋体"/>
          <w:kern w:val="0"/>
          <w:sz w:val="24"/>
          <w:szCs w:val="24"/>
          <w:lang w:val="en-US" w:eastAsia="zh-CN"/>
        </w:rPr>
        <w:t>696</w:t>
      </w:r>
      <w:r>
        <w:rPr>
          <w:rFonts w:ascii="宋体" w:hAnsi="宋体" w:eastAsia="宋体" w:cs="宋体"/>
          <w:kern w:val="0"/>
          <w:sz w:val="24"/>
          <w:szCs w:val="24"/>
        </w:rPr>
        <w:t>人。</w:t>
      </w:r>
      <w:r>
        <w:rPr>
          <w:rFonts w:ascii="宋体" w:hAnsi="宋体" w:eastAsia="宋体" w:cs="宋体"/>
          <w:kern w:val="0"/>
          <w:sz w:val="24"/>
          <w:szCs w:val="24"/>
        </w:rPr>
        <w:br w:type="textWrapping"/>
      </w:r>
      <w:r>
        <w:rPr>
          <w:rFonts w:ascii="宋体" w:hAnsi="宋体" w:eastAsia="宋体" w:cs="宋体"/>
          <w:kern w:val="0"/>
          <w:sz w:val="24"/>
          <w:szCs w:val="24"/>
        </w:rPr>
        <w:t>5.2.2服务社区。学校重视做好社区的服务工作，成立专门的组织，经常面向社区开展义务教育、帮扶活动，学校资源体育设施、计算机房、多功能会堂主动向周边社区和社会开放，为文明创建做好有力的助手。</w:t>
      </w:r>
      <w:r>
        <w:rPr>
          <w:rFonts w:ascii="宋体" w:hAnsi="宋体" w:eastAsia="宋体" w:cs="宋体"/>
          <w:kern w:val="0"/>
          <w:sz w:val="24"/>
          <w:szCs w:val="24"/>
        </w:rPr>
        <w:br w:type="textWrapping"/>
      </w:r>
      <w:r>
        <w:rPr>
          <w:rFonts w:ascii="宋体" w:hAnsi="宋体" w:eastAsia="宋体" w:cs="宋体"/>
          <w:kern w:val="0"/>
          <w:sz w:val="24"/>
          <w:szCs w:val="24"/>
        </w:rPr>
        <w:t>5.2.3学生志愿服务活动。学生志愿者活动深受广大学生的喜爱，这是中职生最好的锻炼机会和实践舞台，开阔眼界，奉献他人，服务社会。学校积极鼓励与支持志愿者协会的发展壮大，积极倡导并组织学生开展各项具有教育意义的活动，了解社会、实践社会、学会服务，懂得奉献，塑造优秀的个人品质。学校现有志愿者</w:t>
      </w:r>
      <w:r>
        <w:rPr>
          <w:rFonts w:hint="eastAsia" w:ascii="宋体" w:hAnsi="宋体" w:eastAsia="宋体" w:cs="宋体"/>
          <w:kern w:val="0"/>
          <w:sz w:val="24"/>
          <w:szCs w:val="24"/>
        </w:rPr>
        <w:t>30</w:t>
      </w:r>
      <w:r>
        <w:rPr>
          <w:rFonts w:ascii="宋体" w:hAnsi="宋体" w:eastAsia="宋体" w:cs="宋体"/>
          <w:kern w:val="0"/>
          <w:sz w:val="24"/>
          <w:szCs w:val="24"/>
        </w:rPr>
        <w:t>名，学校团委组织青年志愿者经常开展争创全国文明城市、文明交通疏导、助残等志愿服务活动。学校志愿者工作认真负责、服务到位，深受社会各界人士和学校领导的肯定与认可。</w:t>
      </w:r>
      <w:r>
        <w:rPr>
          <w:rFonts w:ascii="宋体" w:hAnsi="宋体" w:eastAsia="宋体" w:cs="宋体"/>
          <w:kern w:val="0"/>
          <w:sz w:val="24"/>
          <w:szCs w:val="24"/>
        </w:rPr>
        <w:br w:type="textWrapping"/>
      </w:r>
      <w:r>
        <w:rPr>
          <w:rFonts w:ascii="宋体" w:hAnsi="宋体" w:eastAsia="宋体" w:cs="宋体"/>
          <w:kern w:val="0"/>
          <w:sz w:val="24"/>
          <w:szCs w:val="24"/>
        </w:rPr>
        <w:t>5.3对口支援。</w:t>
      </w:r>
      <w:r>
        <w:rPr>
          <w:rFonts w:ascii="宋体" w:hAnsi="宋体" w:eastAsia="宋体" w:cs="宋体"/>
          <w:kern w:val="0"/>
          <w:sz w:val="24"/>
          <w:szCs w:val="24"/>
        </w:rPr>
        <w:br w:type="textWrapping"/>
      </w:r>
      <w:r>
        <w:rPr>
          <w:rFonts w:ascii="宋体" w:hAnsi="宋体" w:eastAsia="宋体" w:cs="宋体"/>
          <w:kern w:val="0"/>
          <w:sz w:val="24"/>
          <w:szCs w:val="24"/>
        </w:rPr>
        <w:t>根据市扶贫办和市教育局安排，我校将</w:t>
      </w:r>
      <w:r>
        <w:rPr>
          <w:rFonts w:hint="eastAsia" w:ascii="宋体" w:hAnsi="宋体" w:eastAsia="宋体" w:cs="宋体"/>
          <w:kern w:val="0"/>
          <w:sz w:val="24"/>
          <w:szCs w:val="24"/>
        </w:rPr>
        <w:t>大许</w:t>
      </w:r>
      <w:r>
        <w:rPr>
          <w:rFonts w:ascii="宋体" w:hAnsi="宋体" w:eastAsia="宋体" w:cs="宋体"/>
          <w:kern w:val="0"/>
          <w:sz w:val="24"/>
          <w:szCs w:val="24"/>
        </w:rPr>
        <w:t>村作为扶贫点，并先后派</w:t>
      </w:r>
      <w:r>
        <w:rPr>
          <w:rFonts w:hint="eastAsia" w:ascii="宋体" w:hAnsi="宋体" w:eastAsia="宋体" w:cs="宋体"/>
          <w:kern w:val="0"/>
          <w:sz w:val="24"/>
          <w:szCs w:val="24"/>
        </w:rPr>
        <w:t>二</w:t>
      </w:r>
      <w:r>
        <w:rPr>
          <w:rFonts w:ascii="宋体" w:hAnsi="宋体" w:eastAsia="宋体" w:cs="宋体"/>
          <w:kern w:val="0"/>
          <w:sz w:val="24"/>
          <w:szCs w:val="24"/>
        </w:rPr>
        <w:t>位党员干部到村驻点扶贫，目前有两位干部长期驻村。学校制定了精准扶贫方案，实行学校包村、干部包户，校领导和全体中层干部结对扶贫。</w:t>
      </w:r>
      <w:r>
        <w:rPr>
          <w:rFonts w:ascii="宋体" w:hAnsi="宋体" w:eastAsia="宋体" w:cs="宋体"/>
          <w:kern w:val="0"/>
          <w:sz w:val="24"/>
          <w:szCs w:val="24"/>
        </w:rPr>
        <w:br w:type="textWrapping"/>
      </w:r>
      <w:r>
        <w:rPr>
          <w:rFonts w:ascii="宋体" w:hAnsi="宋体" w:eastAsia="宋体" w:cs="宋体"/>
          <w:kern w:val="0"/>
          <w:sz w:val="24"/>
          <w:szCs w:val="24"/>
        </w:rPr>
        <w:t>一是建立月走访制度，学校党员干部每月定期到结对帮扶户普及扶贫知识、宣传党的扶贫惠民政策、分析贫困原因、提供扶贫措施，为贫困户提供精神扶贫。</w:t>
      </w:r>
      <w:r>
        <w:rPr>
          <w:rFonts w:ascii="宋体" w:hAnsi="宋体" w:eastAsia="宋体" w:cs="宋体"/>
          <w:kern w:val="0"/>
          <w:sz w:val="24"/>
          <w:szCs w:val="24"/>
        </w:rPr>
        <w:br w:type="textWrapping"/>
      </w:r>
      <w:r>
        <w:rPr>
          <w:rFonts w:hint="eastAsia" w:ascii="宋体" w:hAnsi="宋体" w:eastAsia="宋体" w:cs="宋体"/>
          <w:kern w:val="0"/>
          <w:sz w:val="24"/>
          <w:szCs w:val="24"/>
        </w:rPr>
        <w:t>二</w:t>
      </w:r>
      <w:r>
        <w:rPr>
          <w:rFonts w:ascii="宋体" w:hAnsi="宋体" w:eastAsia="宋体" w:cs="宋体"/>
          <w:kern w:val="0"/>
          <w:sz w:val="24"/>
          <w:szCs w:val="24"/>
        </w:rPr>
        <w:t>是开展技能帮扶，为</w:t>
      </w:r>
      <w:r>
        <w:rPr>
          <w:rFonts w:hint="eastAsia" w:ascii="宋体" w:hAnsi="宋体" w:eastAsia="宋体" w:cs="宋体"/>
          <w:kern w:val="0"/>
          <w:sz w:val="24"/>
          <w:szCs w:val="24"/>
        </w:rPr>
        <w:t>大许</w:t>
      </w:r>
      <w:r>
        <w:rPr>
          <w:rFonts w:ascii="宋体" w:hAnsi="宋体" w:eastAsia="宋体" w:cs="宋体"/>
          <w:kern w:val="0"/>
          <w:sz w:val="24"/>
          <w:szCs w:val="24"/>
        </w:rPr>
        <w:t>村村民免费提供计算机、电子商务、汽车维修等技能培训。</w:t>
      </w:r>
      <w:r>
        <w:rPr>
          <w:rFonts w:ascii="宋体" w:hAnsi="宋体" w:eastAsia="宋体" w:cs="宋体"/>
          <w:kern w:val="0"/>
          <w:sz w:val="24"/>
          <w:szCs w:val="24"/>
        </w:rPr>
        <w:br w:type="textWrapping"/>
      </w:r>
      <w:r>
        <w:rPr>
          <w:rFonts w:hint="eastAsia" w:ascii="宋体" w:hAnsi="宋体" w:eastAsia="宋体" w:cs="宋体"/>
          <w:kern w:val="0"/>
          <w:sz w:val="24"/>
          <w:szCs w:val="24"/>
        </w:rPr>
        <w:t>三</w:t>
      </w:r>
      <w:r>
        <w:rPr>
          <w:rFonts w:ascii="宋体" w:hAnsi="宋体" w:eastAsia="宋体" w:cs="宋体"/>
          <w:kern w:val="0"/>
          <w:sz w:val="24"/>
          <w:szCs w:val="24"/>
        </w:rPr>
        <w:t>是开展教育帮扶。凡是</w:t>
      </w:r>
      <w:r>
        <w:rPr>
          <w:rFonts w:hint="eastAsia" w:ascii="宋体" w:hAnsi="宋体" w:eastAsia="宋体" w:cs="宋体"/>
          <w:kern w:val="0"/>
          <w:sz w:val="24"/>
          <w:szCs w:val="24"/>
        </w:rPr>
        <w:t>大许</w:t>
      </w:r>
      <w:r>
        <w:rPr>
          <w:rFonts w:ascii="宋体" w:hAnsi="宋体" w:eastAsia="宋体" w:cs="宋体"/>
          <w:kern w:val="0"/>
          <w:sz w:val="24"/>
          <w:szCs w:val="24"/>
        </w:rPr>
        <w:t>村村民子女到我校就读，学费、书本费和住宿费全免。</w:t>
      </w:r>
      <w:r>
        <w:rPr>
          <w:rFonts w:ascii="宋体" w:hAnsi="宋体" w:eastAsia="宋体" w:cs="宋体"/>
          <w:kern w:val="0"/>
          <w:sz w:val="24"/>
          <w:szCs w:val="24"/>
        </w:rPr>
        <w:br w:type="textWrapping"/>
      </w:r>
      <w:r>
        <w:rPr>
          <w:rFonts w:ascii="宋体" w:hAnsi="宋体" w:eastAsia="宋体" w:cs="宋体"/>
          <w:kern w:val="0"/>
          <w:sz w:val="24"/>
          <w:szCs w:val="24"/>
        </w:rPr>
        <w:t>6.举办者履责</w:t>
      </w:r>
      <w:r>
        <w:rPr>
          <w:rFonts w:ascii="宋体" w:hAnsi="宋体" w:eastAsia="宋体" w:cs="宋体"/>
          <w:kern w:val="0"/>
          <w:sz w:val="24"/>
          <w:szCs w:val="24"/>
        </w:rPr>
        <w:br w:type="textWrapping"/>
      </w:r>
      <w:r>
        <w:rPr>
          <w:rFonts w:ascii="宋体" w:hAnsi="宋体" w:eastAsia="宋体" w:cs="宋体"/>
          <w:kern w:val="0"/>
          <w:sz w:val="24"/>
          <w:szCs w:val="24"/>
        </w:rPr>
        <w:t>6.1经费。</w:t>
      </w:r>
      <w:r>
        <w:rPr>
          <w:rFonts w:ascii="宋体" w:hAnsi="宋体" w:eastAsia="宋体" w:cs="宋体"/>
          <w:kern w:val="0"/>
          <w:sz w:val="24"/>
          <w:szCs w:val="24"/>
        </w:rPr>
        <w:br w:type="textWrapping"/>
      </w:r>
      <w:r>
        <w:rPr>
          <w:rFonts w:ascii="宋体" w:hAnsi="宋体" w:eastAsia="宋体" w:cs="宋体"/>
          <w:kern w:val="0"/>
          <w:sz w:val="24"/>
          <w:szCs w:val="24"/>
        </w:rPr>
        <w:t>阜阳市委市政府高度重视职业教育发展，将职业教育经费纳入市财政保障范围，各项政策性财政拨款及时到位，统一管理，杜绝挤占、挪用或截留经费等现象发生，保证学校正常运转以及对学校的投入力度。</w:t>
      </w:r>
    </w:p>
    <w:p>
      <w:pPr>
        <w:rPr>
          <w:rFonts w:ascii="宋体" w:hAnsi="宋体" w:eastAsia="宋体" w:cs="宋体"/>
          <w:kern w:val="0"/>
          <w:sz w:val="24"/>
          <w:szCs w:val="24"/>
        </w:rPr>
      </w:pPr>
      <w:r>
        <w:rPr>
          <w:rFonts w:ascii="宋体" w:hAnsi="宋体" w:eastAsia="宋体" w:cs="宋体"/>
          <w:kern w:val="0"/>
          <w:sz w:val="24"/>
          <w:szCs w:val="24"/>
        </w:rPr>
        <w:t>6.2政策措施</w:t>
      </w:r>
      <w:r>
        <w:rPr>
          <w:rFonts w:ascii="宋体" w:hAnsi="宋体" w:eastAsia="宋体" w:cs="宋体"/>
          <w:kern w:val="0"/>
          <w:sz w:val="24"/>
          <w:szCs w:val="24"/>
        </w:rPr>
        <w:br w:type="textWrapping"/>
      </w:r>
      <w:r>
        <w:rPr>
          <w:rFonts w:ascii="宋体" w:hAnsi="宋体" w:eastAsia="宋体" w:cs="宋体"/>
          <w:kern w:val="0"/>
          <w:sz w:val="24"/>
          <w:szCs w:val="24"/>
        </w:rPr>
        <w:t>6.2.1办学自主权。学校在办学过程中有较大的自主权，上级行政部门赋予学校充分的自主权，学校在人权物方面充分享有自主支配的权力。通过给予学校自主招生、自主制定人才培养方案等措施，使学校的办学灵活性、自主性大大提升。</w:t>
      </w:r>
      <w:r>
        <w:rPr>
          <w:rFonts w:ascii="宋体" w:hAnsi="宋体" w:eastAsia="宋体" w:cs="宋体"/>
          <w:kern w:val="0"/>
          <w:sz w:val="24"/>
          <w:szCs w:val="24"/>
        </w:rPr>
        <w:br w:type="textWrapping"/>
      </w:r>
      <w:r>
        <w:rPr>
          <w:rFonts w:ascii="宋体" w:hAnsi="宋体" w:eastAsia="宋体" w:cs="宋体"/>
          <w:kern w:val="0"/>
          <w:sz w:val="24"/>
          <w:szCs w:val="24"/>
        </w:rPr>
        <w:t>6.2.</w:t>
      </w:r>
      <w:r>
        <w:rPr>
          <w:rFonts w:hint="eastAsia" w:ascii="宋体" w:hAnsi="宋体" w:eastAsia="宋体" w:cs="宋体"/>
          <w:kern w:val="0"/>
          <w:sz w:val="24"/>
          <w:szCs w:val="24"/>
        </w:rPr>
        <w:t>2</w:t>
      </w:r>
      <w:r>
        <w:rPr>
          <w:rFonts w:ascii="宋体" w:hAnsi="宋体" w:eastAsia="宋体" w:cs="宋体"/>
          <w:kern w:val="0"/>
          <w:sz w:val="24"/>
          <w:szCs w:val="24"/>
        </w:rPr>
        <w:t>出台提升学校办学水平的政策和制度。阜阳市政府将职业教育纳入全市经济社会发展规划，纳入政府年度重点工作项目，明确发展定位，加强督查考核，形成了“政府主导、行业指导，部门参与、齐抓共管”的良好工作格局。统筹招生工作，推动职、普高招生比例合理化。严格落实普职招生1:1比例要求；政府出台促进区域职业教育发展办法，提高企业参与职业教育的积极性；优先满足职业学校中与地方产业紧密吻合的骨干、示范专业紧缺教师的编制。</w:t>
      </w:r>
    </w:p>
    <w:p>
      <w:pPr>
        <w:jc w:val="left"/>
        <w:rPr>
          <w:rFonts w:ascii="宋体" w:hAnsi="宋体" w:eastAsia="宋体" w:cs="仿宋"/>
          <w:sz w:val="24"/>
          <w:szCs w:val="24"/>
          <w:shd w:val="clear" w:color="auto" w:fill="FFFFFF"/>
        </w:rPr>
      </w:pPr>
      <w:r>
        <w:rPr>
          <w:rFonts w:ascii="宋体" w:hAnsi="宋体" w:eastAsia="宋体" w:cs="宋体"/>
          <w:kern w:val="0"/>
          <w:sz w:val="24"/>
          <w:szCs w:val="24"/>
        </w:rPr>
        <w:t>7.特色创新</w:t>
      </w:r>
      <w:r>
        <w:rPr>
          <w:rFonts w:ascii="宋体" w:hAnsi="宋体" w:eastAsia="宋体" w:cs="宋体"/>
          <w:kern w:val="0"/>
          <w:sz w:val="24"/>
          <w:szCs w:val="24"/>
        </w:rPr>
        <w:br w:type="textWrapping"/>
      </w:r>
      <w:r>
        <w:rPr>
          <w:rFonts w:hint="eastAsia" w:ascii="宋体" w:hAnsi="宋体" w:eastAsia="宋体" w:cs="仿宋"/>
          <w:sz w:val="24"/>
          <w:szCs w:val="24"/>
          <w:lang w:val="en-US" w:eastAsia="zh-CN" w:bidi="ar"/>
        </w:rPr>
        <w:t xml:space="preserve">    </w:t>
      </w:r>
      <w:r>
        <w:rPr>
          <w:rFonts w:hint="eastAsia" w:ascii="宋体" w:hAnsi="宋体" w:eastAsia="宋体" w:cs="仿宋"/>
          <w:sz w:val="24"/>
          <w:szCs w:val="24"/>
          <w:lang w:bidi="ar"/>
        </w:rPr>
        <w:t>阜阳医药管理学校</w:t>
      </w:r>
      <w:r>
        <w:rPr>
          <w:rFonts w:hint="eastAsia" w:ascii="宋体" w:hAnsi="宋体" w:eastAsia="宋体" w:cs="宋体"/>
          <w:sz w:val="24"/>
          <w:szCs w:val="24"/>
          <w:lang w:bidi="ar"/>
        </w:rPr>
        <w:t>技能扶贫经验交流材料</w:t>
      </w:r>
      <w:r>
        <w:rPr>
          <w:rFonts w:hint="eastAsia" w:ascii="宋体" w:hAnsi="宋体" w:eastAsia="宋体" w:cs="仿宋"/>
          <w:sz w:val="24"/>
          <w:szCs w:val="24"/>
          <w:shd w:val="clear" w:color="auto" w:fill="FFFFFF"/>
        </w:rPr>
        <w:t>：阜阳市人口1024万，是我省扶贫攻坚主战场。现有阜南、临泉、颍上、颍东4个国家扶贫重点县区，颍州、颍泉、太和、界首4个省扶贫重点县市区，是全省贫困人口最多、减贫任务最重的市。</w:t>
      </w:r>
      <w:r>
        <w:rPr>
          <w:rFonts w:hint="eastAsia" w:ascii="宋体" w:hAnsi="宋体" w:eastAsia="宋体" w:cs="仿宋"/>
          <w:sz w:val="24"/>
          <w:szCs w:val="24"/>
          <w:lang w:bidi="ar"/>
        </w:rPr>
        <w:t>近年来，阜阳医药管理学校全面贯彻落实习近平总书记扶贫开发重要讲话精神和省人社厅关于脱贫攻坚重大决策部署，把脱贫攻坚工作作为头等大事来抓，</w:t>
      </w:r>
      <w:r>
        <w:rPr>
          <w:rFonts w:hint="eastAsia" w:ascii="宋体" w:hAnsi="宋体" w:eastAsia="宋体" w:cs="仿宋_GB2312"/>
          <w:sz w:val="24"/>
          <w:szCs w:val="24"/>
          <w:lang w:bidi="ar"/>
        </w:rPr>
        <w:t>开展技能精准扶贫，助力脱贫攻坚。</w:t>
      </w:r>
    </w:p>
    <w:p>
      <w:pPr>
        <w:ind w:firstLine="480" w:firstLineChars="200"/>
        <w:jc w:val="left"/>
        <w:rPr>
          <w:rFonts w:hint="eastAsia" w:ascii="宋体" w:hAnsi="宋体" w:eastAsia="宋体" w:cs="仿宋"/>
          <w:sz w:val="24"/>
          <w:szCs w:val="24"/>
          <w:lang w:bidi="ar"/>
        </w:rPr>
      </w:pPr>
      <w:r>
        <w:rPr>
          <w:rFonts w:hint="eastAsia" w:ascii="宋体" w:hAnsi="宋体" w:eastAsia="宋体" w:cs="仿宋"/>
          <w:sz w:val="24"/>
          <w:szCs w:val="24"/>
          <w:lang w:bidi="ar"/>
        </w:rPr>
        <w:t>培技扶志、培养贫困学子成为高素质技能人才。习近平总书记指出：“治贫先治愚。把贫困地区孩子培养出来，这才是根本的扶贫之策。” 阜阳医药管理学校认真落实省人社厅关于精准脱贫的战略部署，扎实推进就业脱贫工程。一是积极招收培养建档立卡贫困家庭学生，对建档立卡贫困家庭学子实行“四包两免一补两稳”系列优惠政策，包吃、包住、包学技能、包就业，免学费、免学杂费，每学年每生再补贴2000元生活费，确保稳定就业、稳定收入；目前共招收颍上、阜南、临泉、利辛等4个国家级贫困县在校学生3</w:t>
      </w:r>
      <w:r>
        <w:rPr>
          <w:rFonts w:hint="eastAsia" w:ascii="宋体" w:hAnsi="宋体" w:eastAsia="宋体" w:cs="仿宋"/>
          <w:sz w:val="24"/>
          <w:szCs w:val="24"/>
          <w:lang w:val="en-US" w:eastAsia="zh-CN" w:bidi="ar"/>
        </w:rPr>
        <w:t>96</w:t>
      </w:r>
      <w:r>
        <w:rPr>
          <w:rFonts w:hint="eastAsia" w:ascii="宋体" w:hAnsi="宋体" w:eastAsia="宋体" w:cs="仿宋"/>
          <w:sz w:val="24"/>
          <w:szCs w:val="24"/>
          <w:lang w:bidi="ar"/>
        </w:rPr>
        <w:t>人，其中贫困建档立卡学生</w:t>
      </w:r>
      <w:r>
        <w:rPr>
          <w:rFonts w:hint="eastAsia" w:ascii="宋体" w:hAnsi="宋体" w:eastAsia="宋体" w:cs="仿宋"/>
          <w:sz w:val="24"/>
          <w:szCs w:val="24"/>
          <w:lang w:val="en-US" w:eastAsia="zh-CN" w:bidi="ar"/>
        </w:rPr>
        <w:t>93</w:t>
      </w:r>
      <w:r>
        <w:rPr>
          <w:rFonts w:hint="eastAsia" w:ascii="宋体" w:hAnsi="宋体" w:eastAsia="宋体" w:cs="仿宋"/>
          <w:sz w:val="24"/>
          <w:szCs w:val="24"/>
          <w:lang w:bidi="ar"/>
        </w:rPr>
        <w:t>人，201</w:t>
      </w:r>
      <w:r>
        <w:rPr>
          <w:rFonts w:hint="eastAsia" w:ascii="宋体" w:hAnsi="宋体" w:eastAsia="宋体" w:cs="仿宋"/>
          <w:sz w:val="24"/>
          <w:szCs w:val="24"/>
          <w:lang w:val="en-US" w:eastAsia="zh-CN" w:bidi="ar"/>
        </w:rPr>
        <w:t>9</w:t>
      </w:r>
      <w:r>
        <w:rPr>
          <w:rFonts w:hint="eastAsia" w:ascii="宋体" w:hAnsi="宋体" w:eastAsia="宋体" w:cs="仿宋"/>
          <w:sz w:val="24"/>
          <w:szCs w:val="24"/>
          <w:lang w:bidi="ar"/>
        </w:rPr>
        <w:t>年学校拿出专门资金发放交通、伙食补贴9</w:t>
      </w:r>
      <w:r>
        <w:rPr>
          <w:rFonts w:hint="eastAsia" w:ascii="宋体" w:hAnsi="宋体" w:eastAsia="宋体" w:cs="仿宋"/>
          <w:sz w:val="24"/>
          <w:szCs w:val="24"/>
          <w:lang w:val="en-US" w:eastAsia="zh-CN" w:bidi="ar"/>
        </w:rPr>
        <w:t>3</w:t>
      </w:r>
      <w:r>
        <w:rPr>
          <w:rFonts w:hint="eastAsia" w:ascii="宋体" w:hAnsi="宋体" w:eastAsia="宋体" w:cs="仿宋"/>
          <w:sz w:val="24"/>
          <w:szCs w:val="24"/>
          <w:lang w:bidi="ar"/>
        </w:rPr>
        <w:t>000元，努力推动实现“就业一人、脱贫一户”的技能脱贫目标；二是把国家相关资助政策以及学校人文关怀及时给学生宣传到位，加大对家庭贫困学生的扶持。201</w:t>
      </w:r>
      <w:r>
        <w:rPr>
          <w:rFonts w:hint="eastAsia" w:ascii="宋体" w:hAnsi="宋体" w:eastAsia="宋体" w:cs="仿宋"/>
          <w:sz w:val="24"/>
          <w:szCs w:val="24"/>
          <w:lang w:val="en-US" w:eastAsia="zh-CN" w:bidi="ar"/>
        </w:rPr>
        <w:t>9</w:t>
      </w:r>
      <w:r>
        <w:rPr>
          <w:rFonts w:hint="eastAsia" w:ascii="宋体" w:hAnsi="宋体" w:eastAsia="宋体" w:cs="仿宋"/>
          <w:sz w:val="24"/>
          <w:szCs w:val="24"/>
          <w:lang w:bidi="ar"/>
        </w:rPr>
        <w:t>年为家庭困难学生提供35个勤工俭学岗位，每生每天给予50元生活补贴；对4</w:t>
      </w:r>
      <w:r>
        <w:rPr>
          <w:rFonts w:hint="eastAsia" w:ascii="宋体" w:hAnsi="宋体" w:eastAsia="宋体" w:cs="仿宋"/>
          <w:sz w:val="24"/>
          <w:szCs w:val="24"/>
          <w:lang w:val="en-US" w:eastAsia="zh-CN" w:bidi="ar"/>
        </w:rPr>
        <w:t>5</w:t>
      </w:r>
      <w:r>
        <w:rPr>
          <w:rFonts w:hint="eastAsia" w:ascii="宋体" w:hAnsi="宋体" w:eastAsia="宋体" w:cs="仿宋"/>
          <w:sz w:val="24"/>
          <w:szCs w:val="24"/>
          <w:lang w:bidi="ar"/>
        </w:rPr>
        <w:t>名家庭经济困难学生进行了校内资助，每生每学期给予1000元资助，确保不让一名学生因家庭贫困而失学。</w:t>
      </w:r>
    </w:p>
    <w:p>
      <w:pPr>
        <w:jc w:val="left"/>
        <w:rPr>
          <w:rFonts w:hint="eastAsia" w:ascii="宋体" w:hAnsi="宋体" w:eastAsia="宋体" w:cs="仿宋"/>
          <w:sz w:val="24"/>
          <w:szCs w:val="24"/>
          <w:lang w:bidi="ar"/>
        </w:rPr>
      </w:pPr>
      <w:r>
        <w:rPr>
          <w:rFonts w:hint="eastAsia" w:ascii="宋体" w:hAnsi="宋体" w:eastAsia="宋体" w:cs="仿宋"/>
          <w:sz w:val="24"/>
          <w:szCs w:val="24"/>
          <w:lang w:bidi="ar"/>
        </w:rPr>
        <w:t>8.主要问题和改进措施</w:t>
      </w:r>
      <w:r>
        <w:rPr>
          <w:rFonts w:hint="eastAsia" w:ascii="宋体" w:hAnsi="宋体" w:eastAsia="宋体" w:cs="仿宋"/>
          <w:sz w:val="24"/>
          <w:szCs w:val="24"/>
          <w:lang w:bidi="ar"/>
        </w:rPr>
        <w:br w:type="textWrapping"/>
      </w:r>
      <w:r>
        <w:rPr>
          <w:rFonts w:hint="eastAsia" w:ascii="宋体" w:hAnsi="宋体" w:eastAsia="宋体" w:cs="仿宋"/>
          <w:sz w:val="24"/>
          <w:szCs w:val="24"/>
          <w:lang w:bidi="ar"/>
        </w:rPr>
        <w:t>8.1主要问题。</w:t>
      </w:r>
      <w:r>
        <w:rPr>
          <w:rFonts w:hint="eastAsia" w:ascii="宋体" w:hAnsi="宋体" w:eastAsia="宋体" w:cs="仿宋"/>
          <w:sz w:val="24"/>
          <w:szCs w:val="24"/>
          <w:lang w:bidi="ar"/>
        </w:rPr>
        <w:br w:type="textWrapping"/>
      </w:r>
      <w:r>
        <w:rPr>
          <w:rFonts w:hint="eastAsia" w:ascii="宋体" w:hAnsi="宋体" w:eastAsia="宋体" w:cs="仿宋"/>
          <w:sz w:val="24"/>
          <w:szCs w:val="24"/>
          <w:lang w:bidi="ar"/>
        </w:rPr>
        <w:t>1. 专任教师数量不足、学生规模扩张导致了生师比较大，应扩大教师编制，以适应逐年增加的学生数量。</w:t>
      </w:r>
    </w:p>
    <w:p>
      <w:pPr>
        <w:jc w:val="left"/>
        <w:rPr>
          <w:rFonts w:hint="eastAsia" w:ascii="宋体" w:hAnsi="宋体" w:eastAsia="宋体" w:cs="仿宋"/>
          <w:sz w:val="24"/>
          <w:szCs w:val="24"/>
          <w:lang w:bidi="ar"/>
        </w:rPr>
      </w:pPr>
      <w:r>
        <w:rPr>
          <w:rFonts w:hint="eastAsia" w:ascii="宋体" w:hAnsi="宋体" w:eastAsia="宋体" w:cs="仿宋"/>
          <w:sz w:val="24"/>
          <w:szCs w:val="24"/>
          <w:lang w:bidi="ar"/>
        </w:rPr>
        <w:t>2. 职业院校教师不仅要具备熟练的动手操作技能和技术应用能力，同时还需要精通专业理论知识，应加强教师的技能水平和理论知识培训，提高教师教学能力。</w:t>
      </w:r>
    </w:p>
    <w:p>
      <w:pPr>
        <w:jc w:val="left"/>
        <w:rPr>
          <w:rFonts w:hint="eastAsia" w:ascii="宋体" w:hAnsi="宋体" w:eastAsia="宋体" w:cs="仿宋"/>
          <w:sz w:val="24"/>
          <w:szCs w:val="24"/>
          <w:lang w:bidi="ar"/>
        </w:rPr>
      </w:pPr>
      <w:r>
        <w:rPr>
          <w:rFonts w:hint="eastAsia" w:ascii="宋体" w:hAnsi="宋体" w:eastAsia="宋体" w:cs="仿宋"/>
          <w:sz w:val="24"/>
          <w:szCs w:val="24"/>
          <w:lang w:bidi="ar"/>
        </w:rPr>
        <w:t>3. 走多样化办学的道路。充分利用企业的资源和需求、行业的导向和需要，进行多种形式的联合办学。</w:t>
      </w:r>
      <w:r>
        <w:rPr>
          <w:rFonts w:hint="eastAsia" w:ascii="宋体" w:hAnsi="宋体" w:eastAsia="宋体" w:cs="仿宋"/>
          <w:sz w:val="24"/>
          <w:szCs w:val="24"/>
          <w:lang w:bidi="ar"/>
        </w:rPr>
        <w:br w:type="textWrapping"/>
      </w:r>
      <w:r>
        <w:rPr>
          <w:rFonts w:hint="eastAsia" w:ascii="宋体" w:hAnsi="宋体" w:eastAsia="宋体" w:cs="仿宋"/>
          <w:sz w:val="24"/>
          <w:szCs w:val="24"/>
          <w:lang w:bidi="ar"/>
        </w:rPr>
        <w:t>8.2改进措施。</w:t>
      </w:r>
    </w:p>
    <w:p>
      <w:pPr>
        <w:jc w:val="left"/>
        <w:rPr>
          <w:rFonts w:hint="eastAsia" w:ascii="宋体" w:hAnsi="宋体" w:eastAsia="宋体" w:cs="仿宋"/>
          <w:sz w:val="24"/>
          <w:szCs w:val="24"/>
          <w:lang w:bidi="ar"/>
        </w:rPr>
      </w:pPr>
      <w:r>
        <w:rPr>
          <w:rFonts w:hint="eastAsia" w:ascii="宋体" w:hAnsi="宋体" w:eastAsia="宋体" w:cs="仿宋"/>
          <w:sz w:val="24"/>
          <w:szCs w:val="24"/>
          <w:lang w:bidi="ar"/>
        </w:rPr>
        <w:t>1、加强公开招考专业教师，加大企业兼职教师的招聘力度，一是发挥外聘兼职教师的作用。</w:t>
      </w:r>
    </w:p>
    <w:p>
      <w:pPr>
        <w:jc w:val="left"/>
        <w:rPr>
          <w:rFonts w:hint="eastAsia" w:ascii="宋体" w:hAnsi="宋体" w:eastAsia="宋体" w:cs="仿宋"/>
          <w:sz w:val="24"/>
          <w:szCs w:val="24"/>
          <w:lang w:bidi="ar"/>
        </w:rPr>
      </w:pPr>
      <w:r>
        <w:rPr>
          <w:rFonts w:hint="eastAsia" w:ascii="宋体" w:hAnsi="宋体" w:eastAsia="宋体" w:cs="仿宋"/>
          <w:sz w:val="24"/>
          <w:szCs w:val="24"/>
          <w:lang w:bidi="ar"/>
        </w:rPr>
        <w:t>2、完善教师培养培训长效机制，继续强化对现有教师的培养培训，组织教师定期下企业实践，不断提高师资队伍的整体素质。</w:t>
      </w:r>
      <w:r>
        <w:rPr>
          <w:rFonts w:hint="eastAsia" w:ascii="宋体" w:hAnsi="宋体" w:eastAsia="宋体" w:cs="仿宋"/>
          <w:sz w:val="24"/>
          <w:szCs w:val="24"/>
          <w:lang w:bidi="ar"/>
        </w:rPr>
        <w:br w:type="textWrapping"/>
      </w:r>
      <w:r>
        <w:rPr>
          <w:rFonts w:hint="eastAsia" w:ascii="宋体" w:hAnsi="宋体" w:eastAsia="宋体" w:cs="仿宋"/>
          <w:sz w:val="24"/>
          <w:szCs w:val="24"/>
          <w:lang w:bidi="ar"/>
        </w:rPr>
        <w:t>3、加强与企业的交流与合作，提高企业参与人才培养的积极性，建立完善校企合作、工学结合运行长效机制。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91"/>
    <w:rsid w:val="001A46E9"/>
    <w:rsid w:val="002B3B5D"/>
    <w:rsid w:val="003A53DA"/>
    <w:rsid w:val="00412343"/>
    <w:rsid w:val="0049377E"/>
    <w:rsid w:val="00665247"/>
    <w:rsid w:val="0067063A"/>
    <w:rsid w:val="006F6A3D"/>
    <w:rsid w:val="007D5C36"/>
    <w:rsid w:val="0089418F"/>
    <w:rsid w:val="008E6BBE"/>
    <w:rsid w:val="0090316D"/>
    <w:rsid w:val="009D5978"/>
    <w:rsid w:val="00AF0BE1"/>
    <w:rsid w:val="00B52D91"/>
    <w:rsid w:val="00C24200"/>
    <w:rsid w:val="00E27684"/>
    <w:rsid w:val="090D3466"/>
    <w:rsid w:val="0A3A5158"/>
    <w:rsid w:val="116E74BA"/>
    <w:rsid w:val="15E9601C"/>
    <w:rsid w:val="17127A11"/>
    <w:rsid w:val="17EB47E3"/>
    <w:rsid w:val="19D931BF"/>
    <w:rsid w:val="47C81D41"/>
    <w:rsid w:val="4A3A34D0"/>
    <w:rsid w:val="51C7195A"/>
    <w:rsid w:val="5E595266"/>
    <w:rsid w:val="60691D92"/>
    <w:rsid w:val="65AB0D77"/>
    <w:rsid w:val="6C5E3EC2"/>
    <w:rsid w:val="703F5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jc w:val="left"/>
    </w:pPr>
    <w:rPr>
      <w:rFonts w:ascii="宋体" w:hAnsi="宋体" w:eastAsia="宋体" w:cs="宋体"/>
      <w:kern w:val="0"/>
      <w:sz w:val="24"/>
      <w:szCs w:val="24"/>
    </w:rPr>
  </w:style>
  <w:style w:type="character" w:styleId="7">
    <w:name w:val="Strong"/>
    <w:basedOn w:val="6"/>
    <w:qFormat/>
    <w:uiPriority w:val="22"/>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customStyle="1" w:styleId="10">
    <w:name w:val="conten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2269</Words>
  <Characters>12937</Characters>
  <Lines>107</Lines>
  <Paragraphs>30</Paragraphs>
  <TotalTime>11</TotalTime>
  <ScaleCrop>false</ScaleCrop>
  <LinksUpToDate>false</LinksUpToDate>
  <CharactersWithSpaces>15176</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2019-01-24T11:37:00Z</dcterms:created>
  <dc:creator>Q S</dc:creator>
  <cp:lastModifiedBy>啈冨ｌōｖé $ｍīｌé</cp:lastModifiedBy>
  <dcterms:modified xsi:type="dcterms:W3CDTF">2020-01-03T06:57:59Z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