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rPr>
      </w:pPr>
      <w:r>
        <w:rPr>
          <w:rFonts w:hint="eastAsia" w:ascii="方正黑体_GBK" w:eastAsia="方正黑体_GBK"/>
        </w:rPr>
        <w:t>附件2</w:t>
      </w:r>
    </w:p>
    <w:p>
      <w:pPr>
        <w:widowControl/>
        <w:wordWrap/>
        <w:adjustRightInd/>
        <w:snapToGrid/>
        <w:spacing w:before="0" w:after="0" w:line="700" w:lineRule="exact"/>
        <w:ind w:left="0" w:leftChars="0" w:right="0" w:firstLine="0" w:firstLineChars="0"/>
        <w:jc w:val="center"/>
        <w:textAlignment w:val="auto"/>
        <w:outlineLvl w:val="9"/>
        <w:rPr>
          <w:rFonts w:hint="eastAsia" w:ascii="华文中宋" w:hAnsi="华文中宋" w:eastAsia="华文中宋" w:cs="华文中宋"/>
          <w:kern w:val="0"/>
          <w:sz w:val="44"/>
          <w:szCs w:val="44"/>
        </w:rPr>
      </w:pPr>
      <w:r>
        <w:rPr>
          <w:rFonts w:hint="eastAsia" w:ascii="华文中宋" w:hAnsi="华文中宋" w:eastAsia="华文中宋" w:cs="华文中宋"/>
          <w:kern w:val="0"/>
          <w:sz w:val="44"/>
          <w:szCs w:val="44"/>
        </w:rPr>
        <w:t>安徽省中等职业学校优秀论文、优秀教学软件和优质课评选推荐表</w:t>
      </w:r>
    </w:p>
    <w:tbl>
      <w:tblPr>
        <w:tblStyle w:val="5"/>
        <w:tblpPr w:leftFromText="180" w:rightFromText="180" w:vertAnchor="text" w:horzAnchor="page" w:tblpX="1687" w:tblpY="109"/>
        <w:tblOverlap w:val="never"/>
        <w:tblW w:w="8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2107"/>
        <w:gridCol w:w="1590"/>
        <w:gridCol w:w="3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标    题</w:t>
            </w:r>
          </w:p>
        </w:tc>
        <w:tc>
          <w:tcPr>
            <w:tcW w:w="7568" w:type="dxa"/>
            <w:gridSpan w:val="3"/>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kern w:val="0"/>
                <w:sz w:val="24"/>
                <w:lang w:val="en-US" w:eastAsia="zh-CN"/>
              </w:rPr>
            </w:pPr>
            <w:r>
              <w:rPr>
                <w:rFonts w:hint="eastAsia" w:ascii="宋体" w:hAnsi="宋体" w:eastAsia="宋体"/>
                <w:kern w:val="0"/>
                <w:sz w:val="24"/>
                <w:lang w:val="en-US" w:eastAsia="zh-CN"/>
              </w:rPr>
              <w:t>个税综合所得汇算清缴纳税申报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作者姓名</w:t>
            </w:r>
          </w:p>
        </w:tc>
        <w:tc>
          <w:tcPr>
            <w:tcW w:w="2107" w:type="dxa"/>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kern w:val="0"/>
                <w:sz w:val="24"/>
                <w:lang w:val="en-US" w:eastAsia="zh-CN"/>
              </w:rPr>
            </w:pPr>
            <w:r>
              <w:rPr>
                <w:rFonts w:hint="eastAsia" w:ascii="宋体" w:hAnsi="宋体" w:eastAsia="宋体"/>
                <w:kern w:val="0"/>
                <w:sz w:val="24"/>
                <w:lang w:val="en-US" w:eastAsia="zh-CN"/>
              </w:rPr>
              <w:t>王茜</w:t>
            </w:r>
          </w:p>
        </w:tc>
        <w:tc>
          <w:tcPr>
            <w:tcW w:w="15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联系电话</w:t>
            </w:r>
          </w:p>
        </w:tc>
        <w:tc>
          <w:tcPr>
            <w:tcW w:w="387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kern w:val="0"/>
                <w:sz w:val="24"/>
                <w:lang w:val="en-US" w:eastAsia="zh-CN"/>
              </w:rPr>
            </w:pPr>
            <w:r>
              <w:rPr>
                <w:rFonts w:hint="eastAsia" w:ascii="宋体" w:hAnsi="宋体" w:eastAsia="宋体"/>
                <w:kern w:val="0"/>
                <w:sz w:val="24"/>
                <w:lang w:val="en-US" w:eastAsia="zh-CN"/>
              </w:rPr>
              <w:t>17755893922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kern w:val="0"/>
                <w:sz w:val="24"/>
                <w:lang w:eastAsia="zh-CN"/>
              </w:rPr>
            </w:pPr>
            <w:r>
              <w:rPr>
                <w:rFonts w:hint="eastAsia" w:ascii="宋体" w:hAnsi="宋体" w:eastAsia="宋体"/>
                <w:kern w:val="0"/>
                <w:sz w:val="24"/>
                <w:lang w:eastAsia="zh-CN"/>
              </w:rPr>
              <w:t>学</w:t>
            </w:r>
            <w:r>
              <w:rPr>
                <w:rFonts w:hint="eastAsia" w:ascii="宋体" w:hAnsi="宋体" w:eastAsia="宋体"/>
                <w:kern w:val="0"/>
                <w:sz w:val="24"/>
                <w:lang w:val="en-US" w:eastAsia="zh-CN"/>
              </w:rPr>
              <w:t xml:space="preserve">  </w:t>
            </w:r>
            <w:r>
              <w:rPr>
                <w:rFonts w:hint="eastAsia" w:ascii="宋体" w:hAnsi="宋体" w:eastAsia="宋体"/>
                <w:kern w:val="0"/>
                <w:sz w:val="24"/>
                <w:lang w:eastAsia="zh-CN"/>
              </w:rPr>
              <w:t>校</w:t>
            </w:r>
          </w:p>
        </w:tc>
        <w:tc>
          <w:tcPr>
            <w:tcW w:w="7568"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kern w:val="0"/>
                <w:sz w:val="24"/>
                <w:lang w:val="en-US" w:eastAsia="zh-CN"/>
              </w:rPr>
            </w:pPr>
            <w:r>
              <w:rPr>
                <w:rFonts w:hint="eastAsia" w:ascii="宋体" w:hAnsi="宋体" w:eastAsia="宋体"/>
                <w:kern w:val="0"/>
                <w:sz w:val="24"/>
                <w:lang w:val="en-US" w:eastAsia="zh-CN"/>
              </w:rPr>
              <w:t>阜阳技师学院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4" w:hRule="atLeast"/>
        </w:trPr>
        <w:tc>
          <w:tcPr>
            <w:tcW w:w="1188" w:type="dxa"/>
            <w:tcBorders>
              <w:top w:val="single" w:color="000000" w:sz="4" w:space="0"/>
              <w:left w:val="single" w:color="000000" w:sz="4" w:space="0"/>
              <w:bottom w:val="single" w:color="000000" w:sz="4" w:space="0"/>
              <w:right w:val="single" w:color="000000" w:sz="4" w:space="0"/>
            </w:tcBorders>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jc w:val="center"/>
              <w:rPr>
                <w:rFonts w:ascii="宋体" w:hAnsi="宋体" w:eastAsia="宋体"/>
                <w:kern w:val="0"/>
                <w:sz w:val="24"/>
              </w:rPr>
            </w:pPr>
            <w:r>
              <w:rPr>
                <w:rFonts w:hint="eastAsia" w:ascii="宋体" w:hAnsi="宋体" w:eastAsia="宋体"/>
                <w:kern w:val="0"/>
                <w:sz w:val="24"/>
              </w:rPr>
              <w:t>内容介绍</w:t>
            </w:r>
          </w:p>
          <w:p>
            <w:pPr>
              <w:widowControl/>
              <w:rPr>
                <w:rFonts w:ascii="宋体" w:hAnsi="宋体" w:eastAsia="宋体"/>
                <w:kern w:val="0"/>
                <w:sz w:val="24"/>
              </w:rPr>
            </w:pPr>
          </w:p>
          <w:p>
            <w:pPr>
              <w:widowControl/>
              <w:rPr>
                <w:rFonts w:ascii="宋体" w:hAnsi="宋体" w:eastAsia="宋体"/>
                <w:kern w:val="0"/>
                <w:sz w:val="24"/>
              </w:rPr>
            </w:pPr>
          </w:p>
        </w:tc>
        <w:tc>
          <w:tcPr>
            <w:tcW w:w="7568" w:type="dxa"/>
            <w:gridSpan w:val="3"/>
            <w:tcBorders>
              <w:top w:val="single" w:color="000000" w:sz="4" w:space="0"/>
              <w:left w:val="nil"/>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kern w:val="0"/>
                <w:sz w:val="24"/>
              </w:rPr>
            </w:pPr>
            <w:r>
              <w:rPr>
                <w:rFonts w:hint="eastAsia" w:ascii="宋体" w:hAnsi="宋体" w:eastAsia="宋体" w:cs="宋体"/>
                <w:kern w:val="0"/>
                <w:sz w:val="21"/>
                <w:szCs w:val="21"/>
                <w:lang w:val="en-US" w:eastAsia="zh-CN" w:bidi="ar"/>
              </w:rPr>
              <w:t>从2019年始，我国开始建立综合与分类相结合的个人所得税制度，之后每年3月1日至6月30日，全国将进行为期4个月的综合所得</w:t>
            </w:r>
            <w:r>
              <w:rPr>
                <w:rFonts w:hint="eastAsia" w:ascii="宋体" w:hAnsi="宋体" w:eastAsia="宋体" w:cs="宋体"/>
                <w:kern w:val="0"/>
                <w:sz w:val="21"/>
                <w:szCs w:val="21"/>
                <w:lang w:val="en-US" w:eastAsia="zh-CN" w:bidi="ar"/>
              </w:rPr>
              <w:t>年度汇算，以年为单位，合并全年收入，按年计算税款，多退少补。新的个税制度下，群众就会存在各种原因导致的预缴税款过多（过少）的情况，从而出现退回税款（补税）的现象，密切关系着大家的钱袋子。故居民个人个税综合所得汇算清缴纳税申报的选题具有较强的典型性：源于个人真实生活工作，有利于会计专业学生实现专业学习和工作实践的学做合一，积累实操经验，培养工作的规范性和细致性，具有较高学习价值。通过以学生为主体的多途径自主探究，结合情景剧增加趣味性，提升参与度，最后进行软件实操，并在校企合作企业中课后实践，</w:t>
            </w:r>
            <w:bookmarkStart w:id="0" w:name="_GoBack"/>
            <w:bookmarkEnd w:id="0"/>
            <w:r>
              <w:rPr>
                <w:rFonts w:hint="eastAsia" w:ascii="宋体" w:hAnsi="宋体" w:eastAsia="宋体" w:cs="宋体"/>
                <w:kern w:val="0"/>
                <w:sz w:val="21"/>
                <w:szCs w:val="21"/>
                <w:lang w:val="en-US" w:eastAsia="zh-CN" w:bidi="ar"/>
              </w:rPr>
              <w:t>学生最终不但能理解综合所得项目类型，还能掌握综合所得汇算清缴的基本申报操作，尤其加深了学生对其中补税、退税环节的熟悉程度，并灵活运用于现实生活。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市专家评选组意见</w:t>
            </w:r>
          </w:p>
        </w:tc>
        <w:tc>
          <w:tcPr>
            <w:tcW w:w="7568" w:type="dxa"/>
            <w:gridSpan w:val="3"/>
            <w:tcBorders>
              <w:top w:val="single" w:color="000000" w:sz="4" w:space="0"/>
              <w:left w:val="nil"/>
              <w:bottom w:val="single" w:color="000000" w:sz="4" w:space="0"/>
              <w:right w:val="single" w:color="000000" w:sz="4" w:space="0"/>
            </w:tcBorders>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ind w:firstLine="3360"/>
              <w:rPr>
                <w:rFonts w:ascii="宋体" w:hAnsi="宋体" w:eastAsia="宋体"/>
                <w:kern w:val="0"/>
                <w:sz w:val="24"/>
              </w:rPr>
            </w:pPr>
            <w:r>
              <w:rPr>
                <w:rFonts w:hint="eastAsia" w:ascii="宋体" w:hAnsi="宋体" w:eastAsia="宋体"/>
                <w:kern w:val="0"/>
                <w:sz w:val="24"/>
              </w:rPr>
              <w:t xml:space="preserve">专家组组长签名                                                   </w:t>
            </w:r>
          </w:p>
          <w:p>
            <w:pPr>
              <w:widowControl/>
              <w:jc w:val="center"/>
              <w:rPr>
                <w:rFonts w:ascii="宋体" w:hAnsi="宋体" w:eastAsia="宋体"/>
                <w:kern w:val="0"/>
                <w:sz w:val="24"/>
              </w:rPr>
            </w:pPr>
            <w:r>
              <w:rPr>
                <w:rFonts w:hint="eastAsia" w:ascii="宋体" w:hAnsi="宋体" w:eastAsia="宋体"/>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kern w:val="0"/>
                <w:sz w:val="24"/>
              </w:rPr>
            </w:pPr>
            <w:r>
              <w:rPr>
                <w:rFonts w:hint="eastAsia" w:ascii="宋体" w:hAnsi="宋体" w:eastAsia="宋体"/>
                <w:kern w:val="0"/>
                <w:sz w:val="24"/>
              </w:rPr>
              <w:t>市教育局职教研究室推荐意见</w:t>
            </w:r>
          </w:p>
        </w:tc>
        <w:tc>
          <w:tcPr>
            <w:tcW w:w="7568" w:type="dxa"/>
            <w:gridSpan w:val="3"/>
            <w:tcBorders>
              <w:top w:val="single" w:color="000000" w:sz="4" w:space="0"/>
              <w:left w:val="nil"/>
              <w:bottom w:val="single" w:color="000000" w:sz="4" w:space="0"/>
              <w:right w:val="single" w:color="000000" w:sz="4" w:space="0"/>
            </w:tcBorders>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ind w:firstLine="4635"/>
              <w:rPr>
                <w:rFonts w:ascii="宋体" w:hAnsi="宋体" w:eastAsia="宋体"/>
                <w:kern w:val="0"/>
                <w:sz w:val="24"/>
              </w:rPr>
            </w:pPr>
            <w:r>
              <w:rPr>
                <w:rFonts w:hint="eastAsia" w:ascii="宋体" w:hAnsi="宋体" w:eastAsia="宋体"/>
                <w:kern w:val="0"/>
                <w:sz w:val="24"/>
              </w:rPr>
              <w:t xml:space="preserve">市教育局职教研究室 </w:t>
            </w:r>
          </w:p>
          <w:p>
            <w:pPr>
              <w:widowControl/>
              <w:ind w:firstLine="1275"/>
              <w:rPr>
                <w:rFonts w:ascii="宋体" w:hAnsi="宋体" w:eastAsia="宋体"/>
                <w:kern w:val="0"/>
                <w:sz w:val="24"/>
              </w:rPr>
            </w:pPr>
            <w:r>
              <w:rPr>
                <w:rFonts w:hint="eastAsia" w:ascii="宋体" w:hAnsi="宋体" w:eastAsia="宋体"/>
                <w:kern w:val="0"/>
                <w:sz w:val="24"/>
              </w:rPr>
              <w:t xml:space="preserve">                                  年    月   日</w:t>
            </w:r>
          </w:p>
        </w:tc>
      </w:tr>
    </w:tbl>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1D1209"/>
    <w:rsid w:val="215835CE"/>
    <w:rsid w:val="276828B3"/>
    <w:rsid w:val="2B264BC5"/>
    <w:rsid w:val="453870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宋体"/>
      <w:kern w:val="2"/>
      <w:sz w:val="32"/>
      <w:szCs w:val="3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脚 Char"/>
    <w:basedOn w:val="6"/>
    <w:link w:val="2"/>
    <w:semiHidden/>
    <w:qFormat/>
    <w:uiPriority w:val="0"/>
    <w:rPr>
      <w:sz w:val="18"/>
      <w:szCs w:val="18"/>
    </w:rPr>
  </w:style>
  <w:style w:type="character" w:customStyle="1" w:styleId="8">
    <w:name w:val="页眉 Char"/>
    <w:basedOn w:val="6"/>
    <w:link w:val="3"/>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255</Characters>
  <Lines>2</Lines>
  <Paragraphs>1</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2019-03-14T10:13:00Z</dcterms:created>
  <dc:creator>倪朦</dc:creator>
  <cp:lastModifiedBy>1</cp:lastModifiedBy>
  <dcterms:modified xsi:type="dcterms:W3CDTF">2021-05-29T13:23:52Z</dcterms:modified>
  <dc:title>舒时彬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125CB6DE0B474CE5A92DEBA26784ED86</vt:lpwstr>
  </property>
</Properties>
</file>