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方正黑体_GBK" w:eastAsia="方正黑体_GBK"/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方正黑体_GBK" w:eastAsia="方正黑体_GBK"/>
          <w:b w:val="0"/>
          <w:i w:val="0"/>
          <w:caps w:val="0"/>
          <w:spacing w:val="0"/>
          <w:w w:val="100"/>
          <w:sz w:val="32"/>
        </w:rPr>
        <w:t>附件2</w:t>
      </w: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Fonts w:hint="eastAsia" w:ascii="方正小标宋_GBK" w:eastAsia="方正小标宋_GBK"/>
          <w:b w:val="0"/>
          <w:i w:val="0"/>
          <w:caps w:val="0"/>
          <w:spacing w:val="0"/>
          <w:w w:val="100"/>
          <w:kern w:val="0"/>
          <w:sz w:val="20"/>
        </w:rPr>
      </w:pP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Fonts w:ascii="方正小标宋_GBK" w:eastAsia="方正小标宋_GBK"/>
          <w:b w:val="0"/>
          <w:i w:val="0"/>
          <w:caps w:val="0"/>
          <w:spacing w:val="0"/>
          <w:w w:val="100"/>
          <w:kern w:val="0"/>
          <w:sz w:val="20"/>
        </w:rPr>
      </w:pPr>
      <w:r>
        <w:rPr>
          <w:rFonts w:hint="eastAsia" w:ascii="方正小标宋_GBK" w:eastAsia="方正小标宋_GBK"/>
          <w:b w:val="0"/>
          <w:i w:val="0"/>
          <w:caps w:val="0"/>
          <w:spacing w:val="0"/>
          <w:w w:val="100"/>
          <w:kern w:val="0"/>
          <w:sz w:val="32"/>
        </w:rPr>
        <w:t>安徽省中等职业学校优秀论文、优秀教学软件和优质课</w:t>
      </w:r>
    </w:p>
    <w:p>
      <w:pPr>
        <w:snapToGrid/>
        <w:spacing w:before="0" w:beforeAutospacing="0" w:after="0" w:afterAutospacing="0" w:line="500" w:lineRule="exact"/>
        <w:jc w:val="center"/>
        <w:textAlignment w:val="baseline"/>
        <w:rPr>
          <w:rFonts w:ascii="仿宋_GB2312" w:eastAsia="仿宋_GB2312"/>
          <w:b/>
          <w:bCs/>
          <w:i w:val="0"/>
          <w:caps w:val="0"/>
          <w:spacing w:val="0"/>
          <w:w w:val="100"/>
          <w:kern w:val="0"/>
          <w:sz w:val="30"/>
          <w:szCs w:val="30"/>
        </w:rPr>
      </w:pPr>
      <w:r>
        <w:rPr>
          <w:rFonts w:hint="eastAsia" w:ascii="方正小标宋_GBK" w:eastAsia="方正小标宋_GBK"/>
          <w:b w:val="0"/>
          <w:i w:val="0"/>
          <w:caps w:val="0"/>
          <w:spacing w:val="0"/>
          <w:w w:val="100"/>
          <w:kern w:val="0"/>
          <w:sz w:val="32"/>
        </w:rPr>
        <w:t>评选推荐表</w:t>
      </w:r>
    </w:p>
    <w:tbl>
      <w:tblPr>
        <w:tblStyle w:val="4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原子灰的刮涂实训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谢廷海、程裕林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17755893877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内容介绍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《汽车涂装技术》是汽车钣金与涂装专业核心课程，以汽车涂装理论为知识培养目标，以汽车涂装高级工为技能培养目标，以工匠精神为素质培养目标。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教学内容符合汽车涂装专业国家课程标准，结合职业技能等级制度要求和企业岗位认证能力，有机融入工匠精神等课程思政内容。遵循基于工作过程的教育理念，按照汽车涂装流程制定教学模块，重构教学模式。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教学内容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  <w:lang w:val="en-US" w:eastAsia="zh-CN"/>
              </w:rPr>
              <w:t>选自模块五单元三《原子灰的刮涂》实训。根据汽车涂装工作流程，可以分为钣件清洁、底漆喷涂、原子灰刮涂、中涂底漆喷涂、面漆喷涂、抛光等主要六个环节，其中原子灰刮涂在整个涂装过程中具有承上启下的作用，既能考验学生前期学习成效，又能锻炼学生的技术，还决定后期喷漆效果，是整门课的重、难点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3360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635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市教育局职教研究室 </w:t>
            </w:r>
          </w:p>
          <w:p>
            <w:pPr>
              <w:snapToGrid/>
              <w:spacing w:before="0" w:beforeAutospacing="0" w:after="0" w:afterAutospacing="0" w:line="240" w:lineRule="auto"/>
              <w:ind w:firstLine="1275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5A"/>
    <w:rsid w:val="006F5324"/>
    <w:rsid w:val="00765A5A"/>
    <w:rsid w:val="1AB75C3F"/>
    <w:rsid w:val="32126467"/>
    <w:rsid w:val="52411B9A"/>
    <w:rsid w:val="62A019CE"/>
    <w:rsid w:val="6CF1546E"/>
    <w:rsid w:val="77D6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3</TotalTime>
  <ScaleCrop>false</ScaleCrop>
  <LinksUpToDate>false</LinksUpToDate>
  <CharactersWithSpaces>299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勿忘初心</cp:lastModifiedBy>
  <cp:lastPrinted>2022-04-07T00:46:00Z</cp:lastPrinted>
  <dcterms:modified xsi:type="dcterms:W3CDTF">2022-05-12T00:29:12Z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BA9C64355E38421A95509D9663C21BBB</vt:lpwstr>
  </property>
</Properties>
</file>